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B00052" w:rsidRPr="00794438" w:rsidRDefault="00B00052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B00052" w:rsidRPr="00794438" w:rsidRDefault="00BD68A3" w:rsidP="00B00052">
      <w:pPr>
        <w:pStyle w:val="ab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січня </w:t>
      </w:r>
      <w:r w:rsidR="00B00052">
        <w:rPr>
          <w:sz w:val="28"/>
          <w:szCs w:val="28"/>
          <w:lang w:val="uk-UA"/>
        </w:rPr>
        <w:t xml:space="preserve">2018 </w:t>
      </w:r>
      <w:r w:rsidR="00B00052" w:rsidRPr="00794438">
        <w:rPr>
          <w:sz w:val="28"/>
          <w:szCs w:val="28"/>
          <w:lang w:val="uk-UA"/>
        </w:rPr>
        <w:t>року</w:t>
      </w:r>
      <w:r w:rsidR="00B00052">
        <w:rPr>
          <w:sz w:val="28"/>
          <w:szCs w:val="28"/>
          <w:lang w:val="uk-UA"/>
        </w:rPr>
        <w:t xml:space="preserve"> </w:t>
      </w:r>
      <w:r w:rsidR="00B00052" w:rsidRPr="00794438">
        <w:rPr>
          <w:sz w:val="28"/>
          <w:szCs w:val="28"/>
          <w:lang w:val="uk-UA"/>
        </w:rPr>
        <w:t>№</w:t>
      </w:r>
      <w:r w:rsidR="00B00052">
        <w:rPr>
          <w:sz w:val="28"/>
          <w:szCs w:val="28"/>
          <w:lang w:val="uk-UA"/>
        </w:rPr>
        <w:t xml:space="preserve"> </w:t>
      </w:r>
      <w:r w:rsidR="00EB3EAB">
        <w:rPr>
          <w:sz w:val="28"/>
          <w:szCs w:val="28"/>
          <w:lang w:val="uk-UA"/>
        </w:rPr>
        <w:t>33</w:t>
      </w:r>
      <w:bookmarkStart w:id="0" w:name="_GoBack"/>
      <w:bookmarkEnd w:id="0"/>
    </w:p>
    <w:p w:rsidR="003B4565" w:rsidRPr="00AB357D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B4565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9C099F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Програма </w:t>
      </w: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відновлення дитячих ігрових та спортивних майданчиків </w:t>
      </w:r>
    </w:p>
    <w:p w:rsidR="00B92343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>закладів освіти на 2018-2020 роки</w:t>
      </w: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2018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053"/>
        <w:gridCol w:w="987"/>
      </w:tblGrid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92" w:type="dxa"/>
          </w:tcPr>
          <w:p w:rsidR="00AB357D" w:rsidRPr="00AB357D" w:rsidRDefault="000352E6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EA6414" w:rsidRDefault="00AB357D" w:rsidP="00AB357D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:rsidR="00AB357D" w:rsidRPr="00EA6414" w:rsidRDefault="00AB357D" w:rsidP="00AB357D">
      <w:pPr>
        <w:ind w:right="-185"/>
        <w:jc w:val="both"/>
        <w:rPr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Pr="00AB357D" w:rsidRDefault="00A8594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1.  </w:t>
      </w:r>
      <w:r w:rsidRPr="00AB357D">
        <w:rPr>
          <w:rFonts w:ascii="Times New Roman" w:hAnsi="Times New Roman" w:cs="Times New Roman"/>
          <w:b w:val="0"/>
          <w:sz w:val="28"/>
          <w:szCs w:val="28"/>
        </w:rPr>
        <w:t xml:space="preserve">ПАСПОРТ ПРОГРАМИ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ВІДНОВЛЕННЯ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ДИТЯЧИХ ІГРОВИХ ТА СПОРТИВНИХ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МАЙДАНЧИКІВ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АКЛАДІВ ОСВІ</w:t>
      </w:r>
      <w:proofErr w:type="gramStart"/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ТИ НА</w:t>
      </w:r>
      <w:proofErr w:type="gramEnd"/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2018-2020 РОКИ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(ДАЛІ - ПРОГРАМА)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AB357D" w:rsidRPr="00AB357D" w:rsidTr="00CF7928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8185E" w:rsidP="00AB3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B357D"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ерівники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Чернігова</w:t>
            </w:r>
          </w:p>
        </w:tc>
      </w:tr>
      <w:tr w:rsidR="00AB357D" w:rsidRPr="00AB357D" w:rsidTr="00CF7928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EB3EAB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57D" w:rsidRPr="00AB357D" w:rsidTr="00CF7928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AB35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2020 роки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AB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6E6837" w:rsidP="006E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12 000,0 тис. грн.</w:t>
            </w:r>
          </w:p>
        </w:tc>
      </w:tr>
    </w:tbl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741B" w:rsidRPr="0066741B" w:rsidRDefault="0066741B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8594D" w:rsidRDefault="00A8594D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Pr="006E6837" w:rsidRDefault="00A8594D" w:rsidP="00A8594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E683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6E6837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6E6837" w:rsidRDefault="006E6837" w:rsidP="006E68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Указом Президента України від 09.02.2016 року було схвалено Національну стратегію з оздоровчої рухової активності в Україні на період до 2025 року «Рухова активність – здоровий спосіб життя – здорова нація», у якій зазначено, що р</w:t>
      </w: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езультати всеукраїнського опитування свідчать, що на початку XXI століття достатній рівень оздоровчої рухової активності (не менше 4 - 5 занять на тиждень тривалістю одного заняття не менше 30 хвилин) мали лише 3% населення віком від 16 до 74 років, середній рівень (2 - 3 заняття на тиждень) - 6%, низький рівень (1 - 2 заняття на тиждень) - 33% населення. Для більшої частини дорослого населення характерною є </w:t>
      </w:r>
      <w:proofErr w:type="spellStart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гіпокінезія</w:t>
      </w:r>
      <w:proofErr w:type="spellEnd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. Серед дітей зростає популярність малорухомого способу проведення дозвілля.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Численними науковими дослідженнями доведено, що рухова активність значною мірою сприяє дотриманню людиною здорового способу життя, а також в окремих випадках зменшенню негативного впливу на організм людини шкідливих звичок, підвищенню </w:t>
      </w:r>
      <w:proofErr w:type="spellStart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відволікає від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асоціальної поведінки.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Одними із пріоритетних завдань Стратегії є: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інфраструктури сучасних і привабливих спортивних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ігрових 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споруд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закладів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, що мають бути легко доступні для різних верств населення, насамперед малозабезпечених;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модернізація в навчальних закладах системи фізичного виховання, яке має бути органічно поєднано з іншими компонентами здорового способу життя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01.09.2017 року у закладах дошкільної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комунальної форми власності,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виховуються 11 6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а у закладах загальної середньої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комунальної форми власності,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 27 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</w:t>
      </w:r>
    </w:p>
    <w:p w:rsidR="00511349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Управлінням освіти Чернігівської міської ради було обстежено та проаналізовано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стан існуючих дитячих ігрових та спортивних майданчиків, які знаходяться на території закладів дошкільної та загальної середньої освіти міста,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визначено рівень забезпечення ігровим та спортивним обладнанням та потреби в їхньому оновленні або повній заміні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адже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начна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більшість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ігрового та спортивного обладнання 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511349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 ще під час будівництва закладів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474CA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відповідає стратегічному пріоритету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людського потенціалу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- понад усе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Стратегії розвитку міста Чернігова до 2020 року, а саме таким цілям як з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умов для отримання якісної освіти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телект містян = розвиток міста (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)»,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ропаганда здорового способу життя людини «Здоров’я містян -&gt; перспективне місто»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8594D" w:rsidRDefault="007E0988" w:rsidP="007E09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одними з основних завдань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цільової Програми розвитку освіти м. Чернігова «Освіта в житті нашого міста на 2017 – 2021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дітей та їх батьків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ультури здорового способу життя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(підпрограма «Дошкільна освіта»,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«Фізична активність – запорука здоров’я нації»)</w:t>
      </w:r>
      <w:r w:rsidR="00DA5D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оновлення обладнання дитячих ігрових та спортивних майданчиків та облаштування сучасних спортивних споруд.</w:t>
      </w:r>
    </w:p>
    <w:p w:rsid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:rsidR="00A8594D" w:rsidRP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у забезпеченні дітей 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Чернігова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дитячими ігровими та спортивними майданчиками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активного відпочинку, фізичного та соціального розвитку. </w:t>
      </w: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створення якісного та здорового середовища для дітей міста та наявності існуючого ігрового обладнання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закладів 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основними напрямками розвитку у сфері організації дозвілля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та підтримки здоров’я, у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рамках цієї Програми є : 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умов для поліпшення фізичного потенціалу і здоров’я нації;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фізичному та духовному розвитку кожної дитини;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можливості комфортного та безпечного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 на території закладів дошкільної освіти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для зайняття фізичною культурою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покращення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благоустрою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територій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 Чернігова.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 не заборонених законодавством.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Обсяги фінансування Програми визначаються при затвердженні міського бюджету, або при внесенні змін до нього і може коригуватися у залежності від кон’юнктури ціни та можливостей міського бюджету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Чернігова.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Розпорядником коштів виступає управління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ради.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 з міського бюджету передбачається використовувати для виготовлення проектно-кошторисної документації, придбання дитячого ігрового та спортивного обладнання, проведення робіт з його монтажу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встановлення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дитячих ігрових та спортивних майданчиках, що розташовані на територіях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 міста Чернігова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для виконання на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роки, а саме на     201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роки. </w:t>
      </w:r>
    </w:p>
    <w:p w:rsidR="005069D5" w:rsidRPr="00D97E82" w:rsidRDefault="005069D5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6741B" w:rsidRPr="00D97E82" w:rsidRDefault="0066741B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6741B" w:rsidRPr="00D97E82" w:rsidRDefault="0066741B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808"/>
      </w:tblGrid>
      <w:tr w:rsidR="005069D5" w:rsidRPr="00C6755D" w:rsidTr="005069D5">
        <w:tc>
          <w:tcPr>
            <w:tcW w:w="534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3402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635" w:type="dxa"/>
            <w:gridSpan w:val="3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Етапи виконання Програми</w:t>
            </w:r>
          </w:p>
        </w:tc>
      </w:tr>
      <w:tr w:rsidR="005069D5" w:rsidRPr="00C6755D" w:rsidTr="005069D5">
        <w:tc>
          <w:tcPr>
            <w:tcW w:w="534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2018 р.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2019 р.</w:t>
            </w:r>
          </w:p>
        </w:tc>
        <w:tc>
          <w:tcPr>
            <w:tcW w:w="1808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2020 р.</w:t>
            </w:r>
          </w:p>
        </w:tc>
      </w:tr>
      <w:tr w:rsidR="005069D5" w:rsidRPr="00C6755D" w:rsidTr="005069D5">
        <w:tc>
          <w:tcPr>
            <w:tcW w:w="53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00 000 грн.</w:t>
            </w:r>
          </w:p>
        </w:tc>
        <w:tc>
          <w:tcPr>
            <w:tcW w:w="1808" w:type="dxa"/>
          </w:tcPr>
          <w:p w:rsidR="005069D5" w:rsidRPr="00B651BB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грн.</w:t>
            </w:r>
          </w:p>
        </w:tc>
      </w:tr>
    </w:tbl>
    <w:p w:rsidR="005069D5" w:rsidRPr="005069D5" w:rsidRDefault="005069D5" w:rsidP="003647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B651BB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1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2018 </w:t>
      </w:r>
      <w:r w:rsidRPr="00B651BB">
        <w:rPr>
          <w:rFonts w:ascii="Times New Roman" w:hAnsi="Times New Roman" w:cs="Times New Roman"/>
          <w:b/>
          <w:sz w:val="28"/>
          <w:szCs w:val="28"/>
          <w:lang w:val="uk-UA"/>
        </w:rPr>
        <w:t>рік: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дитячих ігрових та спортивних майданчиків на території закладів дошкільної освіти № 1, 4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,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(1 000,0 тис. грн.);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фізкультурно-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спортивного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 xml:space="preserve">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закладу загальної середньої освіти № 28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,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(2 000,0 тис. грн.).</w:t>
      </w:r>
    </w:p>
    <w:p w:rsidR="00B651BB" w:rsidRDefault="00B651BB" w:rsidP="00B651BB">
      <w:pPr>
        <w:pStyle w:val="a6"/>
        <w:spacing w:after="0" w:line="240" w:lineRule="auto"/>
        <w:ind w:left="705"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Кількісна 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>та адресна прив’язка для встановлення дитячих ігрових та спортивних майданчиків у 2019-2020 роках буде визначена управлінням освіти Чернігівської міської ради та затверджен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Чернігівської міської ради.</w:t>
      </w:r>
    </w:p>
    <w:p w:rsidR="000352E6" w:rsidRPr="00364743" w:rsidRDefault="000352E6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left="709"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:rsidR="00364743" w:rsidRPr="00364743" w:rsidRDefault="00364743" w:rsidP="0036474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:rsidR="00364743" w:rsidRPr="00364743" w:rsidRDefault="00364743" w:rsidP="00364743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 дітей та підлітків;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 закладів освіти для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розви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тку фізичної культури та спорту.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проектно-кошторисної документації для відновлення та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дитячих ігрових та спортивних майданчиків на території міста;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підготовка ділянок для розміщення ігрового та спортивного обладнання;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придбання безпечного та призначеного для всесезонного використання обладнання для забезпечення існуючих дитячих ігрових та спортивних майданчиків згідно з діючими нормативами;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роботи з монтажу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та встановлення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майданчиків;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облаштування газонів та квітників навколо дитячих ігрових майданчиків на територіях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розвиток сфери фізичної культури і спорту шляхом створення нових спортивних майданчиків та відновлення існуючих;</w:t>
      </w:r>
    </w:p>
    <w:p w:rsidR="00364743" w:rsidRPr="00364743" w:rsidRDefault="00D31C80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новітніх підходів до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 дітьми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підлітками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743">
        <w:rPr>
          <w:rFonts w:ascii="Times New Roman" w:hAnsi="Times New Roman" w:cs="Times New Roman"/>
          <w:sz w:val="28"/>
          <w:szCs w:val="28"/>
          <w:lang w:val="uk-UA"/>
        </w:rPr>
        <w:t>під час освітнього процесу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покращення естетичного вигляду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C80" w:rsidRPr="0066741B" w:rsidRDefault="00364743" w:rsidP="0066741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- збереження та удосконалення існуючої інфраструк</w:t>
      </w:r>
      <w:r w:rsidR="0066741B">
        <w:rPr>
          <w:rFonts w:ascii="Times New Roman" w:hAnsi="Times New Roman" w:cs="Times New Roman"/>
          <w:sz w:val="28"/>
          <w:szCs w:val="28"/>
          <w:lang w:val="uk-UA"/>
        </w:rPr>
        <w:t>тури об’єктів дитячого дозвілля.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:rsidR="00364743" w:rsidRPr="00364743" w:rsidRDefault="00364743" w:rsidP="0036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виготовлення відповідної документації для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відновлення дитячих ігрових та спортивних майданчиків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20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освіти 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Чернігівської міської ради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придбання 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дитячого ігрового та спортивного обладнання та проведення робіт з його монтажу </w:t>
            </w:r>
            <w:r w:rsidR="00D31C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встановлення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дитячих ігрових та спортивних майданчиках 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освіти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Чернігівської міської ради</w:t>
            </w:r>
          </w:p>
        </w:tc>
      </w:tr>
      <w:tr w:rsidR="00364743" w:rsidRPr="00EB3EAB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D3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цільове використання і збереження майна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дитячих ігрових та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6741B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</w:t>
            </w:r>
          </w:p>
        </w:tc>
      </w:tr>
      <w:tr w:rsidR="00364743" w:rsidRPr="00EB3EAB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залучення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працівників закладів освіти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до впорядкування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6741B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власності,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к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«Зеленбуд»  Чернігівської міської ради</w:t>
            </w:r>
          </w:p>
        </w:tc>
      </w:tr>
    </w:tbl>
    <w:p w:rsid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управління 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освіти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Чернігівської міської ради, яке щороку до 15 </w:t>
      </w:r>
      <w:r w:rsidR="00D97E82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січня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інформує Чернігівськ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міськ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рад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про хід виконання Програми.</w:t>
      </w:r>
    </w:p>
    <w:p w:rsidR="00364743" w:rsidRPr="00364743" w:rsidRDefault="00364743" w:rsidP="00B00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="001D26B5"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освіти, медицини, соціального захисту, культури, молодіжної політики та спорту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:rsidR="00364743" w:rsidRDefault="00364743" w:rsidP="00B0005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Pr="00A5320A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52" w:rsidRPr="00A5320A" w:rsidRDefault="00B00052" w:rsidP="00B000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D97E82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A8594D" w:rsidRPr="00364743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8594D" w:rsidRPr="0036474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352E6"/>
    <w:rsid w:val="00071663"/>
    <w:rsid w:val="00081292"/>
    <w:rsid w:val="000C7486"/>
    <w:rsid w:val="000D4FEF"/>
    <w:rsid w:val="000E27A8"/>
    <w:rsid w:val="001041DB"/>
    <w:rsid w:val="001218E7"/>
    <w:rsid w:val="00131183"/>
    <w:rsid w:val="00177D22"/>
    <w:rsid w:val="00191138"/>
    <w:rsid w:val="001968FD"/>
    <w:rsid w:val="001A5F07"/>
    <w:rsid w:val="001B6433"/>
    <w:rsid w:val="001D26B5"/>
    <w:rsid w:val="001F0870"/>
    <w:rsid w:val="00253990"/>
    <w:rsid w:val="00262892"/>
    <w:rsid w:val="00263BCE"/>
    <w:rsid w:val="00282FD0"/>
    <w:rsid w:val="00287B2F"/>
    <w:rsid w:val="00296D13"/>
    <w:rsid w:val="00320550"/>
    <w:rsid w:val="00321195"/>
    <w:rsid w:val="0033142A"/>
    <w:rsid w:val="00364743"/>
    <w:rsid w:val="003724C0"/>
    <w:rsid w:val="003B4565"/>
    <w:rsid w:val="003F40AA"/>
    <w:rsid w:val="00451A46"/>
    <w:rsid w:val="0045581F"/>
    <w:rsid w:val="004B1EC6"/>
    <w:rsid w:val="004D2473"/>
    <w:rsid w:val="004D7A34"/>
    <w:rsid w:val="004E4A92"/>
    <w:rsid w:val="0050256F"/>
    <w:rsid w:val="005069D5"/>
    <w:rsid w:val="00511349"/>
    <w:rsid w:val="00514AB4"/>
    <w:rsid w:val="0052051B"/>
    <w:rsid w:val="00546327"/>
    <w:rsid w:val="005474CA"/>
    <w:rsid w:val="00547DEA"/>
    <w:rsid w:val="00554E40"/>
    <w:rsid w:val="00576CD0"/>
    <w:rsid w:val="005838DB"/>
    <w:rsid w:val="005A0ECA"/>
    <w:rsid w:val="005E0533"/>
    <w:rsid w:val="006132E1"/>
    <w:rsid w:val="00637C57"/>
    <w:rsid w:val="00644B68"/>
    <w:rsid w:val="0066741B"/>
    <w:rsid w:val="006B2DFF"/>
    <w:rsid w:val="006B657E"/>
    <w:rsid w:val="006C2F88"/>
    <w:rsid w:val="006D1D06"/>
    <w:rsid w:val="006E51CC"/>
    <w:rsid w:val="006E6837"/>
    <w:rsid w:val="00717B5A"/>
    <w:rsid w:val="00726C2D"/>
    <w:rsid w:val="007511D9"/>
    <w:rsid w:val="00780C77"/>
    <w:rsid w:val="00793CD0"/>
    <w:rsid w:val="007E0988"/>
    <w:rsid w:val="007E251B"/>
    <w:rsid w:val="008041AB"/>
    <w:rsid w:val="00811199"/>
    <w:rsid w:val="00813E7D"/>
    <w:rsid w:val="008671FC"/>
    <w:rsid w:val="008B1760"/>
    <w:rsid w:val="008E0CFE"/>
    <w:rsid w:val="009021C3"/>
    <w:rsid w:val="0094648C"/>
    <w:rsid w:val="009C099F"/>
    <w:rsid w:val="009C731A"/>
    <w:rsid w:val="009E5A88"/>
    <w:rsid w:val="009E5AEF"/>
    <w:rsid w:val="009F28D9"/>
    <w:rsid w:val="00A137F7"/>
    <w:rsid w:val="00A2394E"/>
    <w:rsid w:val="00A4668B"/>
    <w:rsid w:val="00A70AE4"/>
    <w:rsid w:val="00A721AF"/>
    <w:rsid w:val="00A74FF3"/>
    <w:rsid w:val="00A8185E"/>
    <w:rsid w:val="00A81CEE"/>
    <w:rsid w:val="00A8594D"/>
    <w:rsid w:val="00AB357D"/>
    <w:rsid w:val="00AD6426"/>
    <w:rsid w:val="00B00052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D68A3"/>
    <w:rsid w:val="00C41877"/>
    <w:rsid w:val="00C96F69"/>
    <w:rsid w:val="00CD556B"/>
    <w:rsid w:val="00D05B91"/>
    <w:rsid w:val="00D14A4B"/>
    <w:rsid w:val="00D31C80"/>
    <w:rsid w:val="00D53651"/>
    <w:rsid w:val="00D96112"/>
    <w:rsid w:val="00D97E82"/>
    <w:rsid w:val="00DA5D21"/>
    <w:rsid w:val="00DD6299"/>
    <w:rsid w:val="00E01F21"/>
    <w:rsid w:val="00E04624"/>
    <w:rsid w:val="00E76BCC"/>
    <w:rsid w:val="00E86FFE"/>
    <w:rsid w:val="00E96BEB"/>
    <w:rsid w:val="00EB3EAB"/>
    <w:rsid w:val="00EC2D13"/>
    <w:rsid w:val="00EC622C"/>
    <w:rsid w:val="00F727B3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53</cp:revision>
  <cp:lastPrinted>2018-01-16T11:18:00Z</cp:lastPrinted>
  <dcterms:created xsi:type="dcterms:W3CDTF">2017-02-05T09:08:00Z</dcterms:created>
  <dcterms:modified xsi:type="dcterms:W3CDTF">2018-01-19T09:49:00Z</dcterms:modified>
</cp:coreProperties>
</file>