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02" w:rsidRPr="007372AF" w:rsidRDefault="00322702" w:rsidP="00322702">
      <w:pPr>
        <w:pStyle w:val="a3"/>
        <w:ind w:left="5103"/>
        <w:rPr>
          <w:rFonts w:ascii="Times New Roman" w:hAnsi="Times New Roman"/>
          <w:sz w:val="28"/>
        </w:rPr>
      </w:pPr>
      <w:r w:rsidRPr="007372AF">
        <w:rPr>
          <w:rFonts w:ascii="Times New Roman" w:hAnsi="Times New Roman"/>
          <w:sz w:val="28"/>
        </w:rPr>
        <w:t xml:space="preserve">ЗАТВЕРДЖЕНО </w:t>
      </w:r>
    </w:p>
    <w:p w:rsidR="00322702" w:rsidRPr="007372AF" w:rsidRDefault="00322702" w:rsidP="00322702">
      <w:pPr>
        <w:pStyle w:val="a3"/>
        <w:ind w:left="5103"/>
        <w:rPr>
          <w:rFonts w:ascii="Times New Roman" w:hAnsi="Times New Roman"/>
          <w:sz w:val="28"/>
        </w:rPr>
      </w:pPr>
      <w:r w:rsidRPr="007372AF">
        <w:rPr>
          <w:rFonts w:ascii="Times New Roman" w:hAnsi="Times New Roman"/>
          <w:sz w:val="28"/>
        </w:rPr>
        <w:t>Розпорядження міського голови</w:t>
      </w:r>
    </w:p>
    <w:p w:rsidR="00322702" w:rsidRPr="007372AF" w:rsidRDefault="00322702" w:rsidP="00322702">
      <w:pPr>
        <w:pStyle w:val="a3"/>
        <w:ind w:left="5103"/>
        <w:rPr>
          <w:rFonts w:ascii="Times New Roman" w:hAnsi="Times New Roman"/>
          <w:sz w:val="28"/>
        </w:rPr>
      </w:pPr>
      <w:r>
        <w:rPr>
          <w:rFonts w:ascii="Times New Roman" w:hAnsi="Times New Roman"/>
          <w:sz w:val="28"/>
        </w:rPr>
        <w:t>«24» травня 2013 року № 91-р</w:t>
      </w:r>
    </w:p>
    <w:p w:rsidR="00322702" w:rsidRPr="007372AF" w:rsidRDefault="00322702" w:rsidP="00322702">
      <w:pPr>
        <w:jc w:val="both"/>
        <w:rPr>
          <w:sz w:val="28"/>
          <w:lang w:val="uk-UA"/>
        </w:rPr>
      </w:pPr>
    </w:p>
    <w:p w:rsidR="00322702" w:rsidRPr="007372AF" w:rsidRDefault="00322702" w:rsidP="00322702">
      <w:pPr>
        <w:jc w:val="center"/>
        <w:rPr>
          <w:sz w:val="28"/>
          <w:szCs w:val="28"/>
          <w:lang w:val="uk-UA" w:eastAsia="uk-UA"/>
        </w:rPr>
      </w:pPr>
      <w:r w:rsidRPr="007372AF">
        <w:rPr>
          <w:sz w:val="28"/>
          <w:szCs w:val="28"/>
          <w:lang w:val="uk-UA" w:eastAsia="uk-UA"/>
        </w:rPr>
        <w:t xml:space="preserve">Положення </w:t>
      </w:r>
    </w:p>
    <w:p w:rsidR="00322702" w:rsidRPr="007372AF" w:rsidRDefault="00322702" w:rsidP="00322702">
      <w:pPr>
        <w:jc w:val="center"/>
        <w:rPr>
          <w:sz w:val="28"/>
          <w:lang w:val="uk-UA"/>
        </w:rPr>
      </w:pPr>
      <w:r w:rsidRPr="007372AF">
        <w:rPr>
          <w:sz w:val="28"/>
          <w:szCs w:val="28"/>
          <w:lang w:val="uk-UA" w:eastAsia="uk-UA"/>
        </w:rPr>
        <w:t xml:space="preserve">про проведення </w:t>
      </w:r>
      <w:r w:rsidRPr="007372AF">
        <w:rPr>
          <w:sz w:val="28"/>
          <w:lang w:val="uk-UA"/>
        </w:rPr>
        <w:t>міського фестивалю бандурного мистецтва «Кобзарський майдан»</w:t>
      </w:r>
    </w:p>
    <w:p w:rsidR="00322702" w:rsidRPr="007372AF" w:rsidRDefault="00322702" w:rsidP="00322702">
      <w:pPr>
        <w:jc w:val="center"/>
        <w:rPr>
          <w:sz w:val="28"/>
          <w:szCs w:val="28"/>
          <w:lang w:val="uk-UA" w:eastAsia="uk-UA"/>
        </w:rPr>
      </w:pPr>
    </w:p>
    <w:p w:rsidR="00322702" w:rsidRPr="007372AF" w:rsidRDefault="00322702" w:rsidP="00322702">
      <w:pPr>
        <w:tabs>
          <w:tab w:val="left" w:pos="142"/>
        </w:tabs>
        <w:jc w:val="center"/>
        <w:rPr>
          <w:sz w:val="28"/>
          <w:szCs w:val="28"/>
          <w:lang w:val="uk-UA" w:eastAsia="uk-UA"/>
        </w:rPr>
      </w:pPr>
      <w:r w:rsidRPr="007372AF">
        <w:rPr>
          <w:sz w:val="28"/>
          <w:szCs w:val="28"/>
          <w:lang w:val="uk-UA" w:eastAsia="uk-UA"/>
        </w:rPr>
        <w:t>1. Мета та завдання</w:t>
      </w:r>
    </w:p>
    <w:p w:rsidR="00322702" w:rsidRPr="007372AF" w:rsidRDefault="00322702" w:rsidP="00322702">
      <w:pPr>
        <w:ind w:firstLine="708"/>
        <w:jc w:val="both"/>
        <w:rPr>
          <w:sz w:val="28"/>
          <w:szCs w:val="28"/>
          <w:lang w:val="uk-UA" w:eastAsia="uk-UA"/>
        </w:rPr>
      </w:pPr>
      <w:r w:rsidRPr="007372AF">
        <w:rPr>
          <w:sz w:val="28"/>
          <w:szCs w:val="28"/>
          <w:lang w:val="uk-UA" w:eastAsia="uk-UA"/>
        </w:rPr>
        <w:t>Втілення  в життя ідеї національно-патріотичного виховання української молоді на кращих зразках народної та сучасної української пісні, збереження та збагачення традиційного кобзарського мистецтва Чернігівщини, популяризація та розвиток національного інструменту – бандури, стимулювання діяльності та підвищення рівня виконавської майстерності виконавців та виконавських колективів, духовне збагачення мешканців міста, демонстрація національного мистецтва, сприяння культурному діалогу творчої молоді та жителів міста, розвиток естетичних смаків підростаючого покоління, творче спілкування та розширення глядацької аудиторії.</w:t>
      </w:r>
    </w:p>
    <w:p w:rsidR="00322702" w:rsidRPr="007372AF" w:rsidRDefault="00322702" w:rsidP="00322702">
      <w:pPr>
        <w:jc w:val="both"/>
        <w:rPr>
          <w:sz w:val="28"/>
          <w:szCs w:val="28"/>
          <w:lang w:val="uk-UA" w:eastAsia="uk-UA"/>
        </w:rPr>
      </w:pPr>
    </w:p>
    <w:p w:rsidR="00322702" w:rsidRPr="007372AF" w:rsidRDefault="00322702" w:rsidP="00322702">
      <w:pPr>
        <w:jc w:val="center"/>
        <w:rPr>
          <w:sz w:val="28"/>
          <w:szCs w:val="28"/>
          <w:lang w:val="uk-UA" w:eastAsia="uk-UA"/>
        </w:rPr>
      </w:pPr>
      <w:r w:rsidRPr="007372AF">
        <w:rPr>
          <w:bCs/>
          <w:sz w:val="28"/>
          <w:lang w:val="uk-UA"/>
        </w:rPr>
        <w:t>2. Умови проведення</w:t>
      </w:r>
    </w:p>
    <w:p w:rsidR="00322702" w:rsidRPr="007372AF" w:rsidRDefault="00322702" w:rsidP="00322702">
      <w:pPr>
        <w:ind w:firstLine="708"/>
        <w:jc w:val="both"/>
        <w:rPr>
          <w:sz w:val="28"/>
          <w:szCs w:val="28"/>
          <w:lang w:val="uk-UA" w:eastAsia="uk-UA"/>
        </w:rPr>
      </w:pPr>
      <w:r w:rsidRPr="007372AF">
        <w:rPr>
          <w:sz w:val="28"/>
          <w:szCs w:val="28"/>
          <w:lang w:val="uk-UA" w:eastAsia="uk-UA"/>
        </w:rPr>
        <w:t xml:space="preserve">2.1. Заходи </w:t>
      </w:r>
      <w:r w:rsidRPr="007372AF">
        <w:rPr>
          <w:sz w:val="28"/>
          <w:lang w:val="uk-UA"/>
        </w:rPr>
        <w:t xml:space="preserve">міського фестивалю бандурного мистецтва «Кобзарський майдан» (далі – фестиваль) </w:t>
      </w:r>
      <w:r w:rsidRPr="007372AF">
        <w:rPr>
          <w:sz w:val="28"/>
          <w:szCs w:val="28"/>
          <w:lang w:val="uk-UA" w:eastAsia="uk-UA"/>
        </w:rPr>
        <w:t xml:space="preserve">проводяться щонеділі протягом червня на території Центрального парку культури та відпочинку. </w:t>
      </w:r>
    </w:p>
    <w:p w:rsidR="00322702" w:rsidRPr="007372AF" w:rsidRDefault="00322702" w:rsidP="00322702">
      <w:pPr>
        <w:ind w:firstLine="708"/>
        <w:jc w:val="both"/>
        <w:rPr>
          <w:sz w:val="28"/>
          <w:szCs w:val="28"/>
          <w:lang w:val="uk-UA" w:eastAsia="uk-UA"/>
        </w:rPr>
      </w:pPr>
      <w:r w:rsidRPr="007372AF">
        <w:rPr>
          <w:sz w:val="28"/>
          <w:szCs w:val="28"/>
          <w:lang w:val="uk-UA" w:eastAsia="uk-UA"/>
        </w:rPr>
        <w:t>2.2. Учасниками фестивалю є учні початкових спеціалізованих мистецьких навчальних закладів (шкіл естетичного виховання), центрів творчості дітей та юнацтва, студенти вищих навчальних закладів, аматори та професійні виконавці м. Чернігова та Чернігівської області.</w:t>
      </w:r>
    </w:p>
    <w:p w:rsidR="00322702" w:rsidRPr="007372AF" w:rsidRDefault="00322702" w:rsidP="00322702">
      <w:pPr>
        <w:ind w:firstLine="708"/>
        <w:jc w:val="both"/>
        <w:rPr>
          <w:sz w:val="28"/>
          <w:szCs w:val="28"/>
          <w:lang w:val="uk-UA" w:eastAsia="uk-UA"/>
        </w:rPr>
      </w:pPr>
      <w:r w:rsidRPr="007372AF">
        <w:rPr>
          <w:sz w:val="28"/>
          <w:szCs w:val="28"/>
          <w:lang w:val="uk-UA" w:eastAsia="uk-UA"/>
        </w:rPr>
        <w:t xml:space="preserve">2.3. Інші умови участі, тривалість виступів та програму проведення затверджує оргкомітет фестивалю. </w:t>
      </w:r>
    </w:p>
    <w:p w:rsidR="00322702" w:rsidRPr="007372AF" w:rsidRDefault="00322702" w:rsidP="00322702">
      <w:pPr>
        <w:ind w:firstLine="708"/>
        <w:jc w:val="both"/>
        <w:rPr>
          <w:sz w:val="28"/>
          <w:szCs w:val="28"/>
          <w:lang w:val="uk-UA" w:eastAsia="uk-UA"/>
        </w:rPr>
      </w:pPr>
    </w:p>
    <w:p w:rsidR="00322702" w:rsidRPr="007372AF" w:rsidRDefault="00322702" w:rsidP="00322702">
      <w:pPr>
        <w:jc w:val="center"/>
        <w:rPr>
          <w:sz w:val="28"/>
          <w:szCs w:val="28"/>
          <w:lang w:val="uk-UA" w:eastAsia="uk-UA"/>
        </w:rPr>
      </w:pPr>
      <w:r w:rsidRPr="007372AF">
        <w:rPr>
          <w:sz w:val="28"/>
          <w:szCs w:val="28"/>
          <w:lang w:val="uk-UA" w:eastAsia="uk-UA"/>
        </w:rPr>
        <w:t>3. Організатори</w:t>
      </w:r>
    </w:p>
    <w:p w:rsidR="00322702" w:rsidRPr="007372AF" w:rsidRDefault="00322702" w:rsidP="00322702">
      <w:pPr>
        <w:ind w:firstLine="708"/>
        <w:jc w:val="both"/>
        <w:rPr>
          <w:bCs/>
          <w:sz w:val="28"/>
          <w:lang w:val="uk-UA"/>
        </w:rPr>
      </w:pPr>
      <w:r w:rsidRPr="007372AF">
        <w:rPr>
          <w:bCs/>
          <w:sz w:val="28"/>
          <w:lang w:val="uk-UA"/>
        </w:rPr>
        <w:t xml:space="preserve">Організаторами фестивалю є: Чернігівська міська рада, управління культури Чернігівської міської ради, комунальний позашкільний навчальний заклад «Чернігівська музична школа №1 ім. С. В. </w:t>
      </w:r>
      <w:proofErr w:type="spellStart"/>
      <w:r w:rsidRPr="007372AF">
        <w:rPr>
          <w:bCs/>
          <w:sz w:val="28"/>
          <w:lang w:val="uk-UA"/>
        </w:rPr>
        <w:t>Вільконського</w:t>
      </w:r>
      <w:proofErr w:type="spellEnd"/>
      <w:r w:rsidRPr="007372AF">
        <w:rPr>
          <w:bCs/>
          <w:sz w:val="28"/>
          <w:lang w:val="uk-UA"/>
        </w:rPr>
        <w:t>», комунальний позашкільний навчальний заклад «</w:t>
      </w:r>
      <w:r w:rsidRPr="007372AF">
        <w:rPr>
          <w:sz w:val="28"/>
          <w:szCs w:val="28"/>
          <w:lang w:val="uk-UA" w:eastAsia="uk-UA"/>
        </w:rPr>
        <w:t xml:space="preserve">Чернігівська дитяча музична школа №2», </w:t>
      </w:r>
      <w:r w:rsidRPr="007372AF">
        <w:rPr>
          <w:bCs/>
          <w:sz w:val="28"/>
          <w:lang w:val="uk-UA"/>
        </w:rPr>
        <w:t>комунальний позашкільний навчальний заклад</w:t>
      </w:r>
      <w:r w:rsidRPr="007372AF">
        <w:rPr>
          <w:sz w:val="28"/>
          <w:szCs w:val="28"/>
          <w:lang w:val="uk-UA" w:eastAsia="uk-UA"/>
        </w:rPr>
        <w:t xml:space="preserve"> «Чернігівська міська школа мистецтв», комунальний клубний заклад «Палац культури художньої творчості дітей, юнацтва та молоді», Комунальне підприємство «</w:t>
      </w:r>
      <w:r w:rsidRPr="007372AF">
        <w:rPr>
          <w:sz w:val="28"/>
          <w:lang w:val="uk-UA"/>
        </w:rPr>
        <w:t>Центральний парк культури та відпочинку</w:t>
      </w:r>
      <w:r w:rsidRPr="007372AF">
        <w:rPr>
          <w:sz w:val="28"/>
          <w:szCs w:val="28"/>
          <w:lang w:val="uk-UA" w:eastAsia="uk-UA"/>
        </w:rPr>
        <w:t>» Чернігівської міської ради.</w:t>
      </w:r>
    </w:p>
    <w:p w:rsidR="00322702" w:rsidRPr="007372AF" w:rsidRDefault="00322702" w:rsidP="00322702">
      <w:pPr>
        <w:jc w:val="center"/>
        <w:rPr>
          <w:sz w:val="28"/>
          <w:szCs w:val="28"/>
          <w:lang w:val="uk-UA" w:eastAsia="uk-UA"/>
        </w:rPr>
      </w:pPr>
    </w:p>
    <w:p w:rsidR="00322702" w:rsidRPr="007372AF" w:rsidRDefault="00322702" w:rsidP="00322702">
      <w:pPr>
        <w:jc w:val="center"/>
        <w:rPr>
          <w:sz w:val="28"/>
          <w:szCs w:val="28"/>
          <w:lang w:val="uk-UA" w:eastAsia="uk-UA"/>
        </w:rPr>
      </w:pPr>
      <w:r w:rsidRPr="007372AF">
        <w:rPr>
          <w:sz w:val="28"/>
          <w:szCs w:val="28"/>
          <w:lang w:val="uk-UA" w:eastAsia="uk-UA"/>
        </w:rPr>
        <w:t>4. Фінансові умови проведення заходу</w:t>
      </w:r>
    </w:p>
    <w:p w:rsidR="00322702" w:rsidRPr="007372AF" w:rsidRDefault="00322702" w:rsidP="00322702">
      <w:pPr>
        <w:pStyle w:val="a3"/>
        <w:ind w:firstLine="708"/>
        <w:jc w:val="both"/>
        <w:rPr>
          <w:rFonts w:ascii="Times New Roman" w:hAnsi="Times New Roman"/>
          <w:sz w:val="28"/>
        </w:rPr>
      </w:pPr>
      <w:r w:rsidRPr="007372AF">
        <w:rPr>
          <w:rFonts w:ascii="Times New Roman" w:hAnsi="Times New Roman"/>
          <w:sz w:val="28"/>
        </w:rPr>
        <w:t>4.1. Проїзд та перебування учасників фестивалю здійснюється за власний рахунок.</w:t>
      </w:r>
    </w:p>
    <w:p w:rsidR="00322702" w:rsidRPr="007372AF" w:rsidRDefault="00322702" w:rsidP="00322702">
      <w:pPr>
        <w:pStyle w:val="a3"/>
        <w:ind w:firstLine="708"/>
        <w:jc w:val="both"/>
        <w:rPr>
          <w:sz w:val="28"/>
        </w:rPr>
      </w:pPr>
      <w:r w:rsidRPr="007372AF">
        <w:rPr>
          <w:rFonts w:ascii="Times New Roman" w:hAnsi="Times New Roman"/>
          <w:sz w:val="28"/>
        </w:rPr>
        <w:t xml:space="preserve">4.2. Учасники фестивалю можуть бути нагороджені дипломами та подяками. </w:t>
      </w:r>
      <w:bookmarkStart w:id="0" w:name="_GoBack"/>
      <w:bookmarkEnd w:id="0"/>
    </w:p>
    <w:sectPr w:rsidR="00322702" w:rsidRPr="007372AF" w:rsidSect="00B2610E">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0E" w:rsidRDefault="00322702" w:rsidP="00B2610E">
    <w:pPr>
      <w:pStyle w:val="a4"/>
      <w:jc w:val="center"/>
    </w:pPr>
    <w:r>
      <w:fldChar w:fldCharType="begin"/>
    </w:r>
    <w:r>
      <w:instrText xml:space="preserve"> PAGE   \* ME</w:instrText>
    </w:r>
    <w:r>
      <w:instrText xml:space="preserve">RGEFORMAT </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02"/>
    <w:rsid w:val="002F7AE2"/>
    <w:rsid w:val="0032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2702"/>
    <w:pPr>
      <w:spacing w:after="0" w:line="240" w:lineRule="auto"/>
    </w:pPr>
    <w:rPr>
      <w:rFonts w:ascii="Calibri" w:eastAsia="Times New Roman" w:hAnsi="Calibri" w:cs="Times New Roman"/>
      <w:lang w:val="uk-UA" w:eastAsia="uk-UA"/>
    </w:rPr>
  </w:style>
  <w:style w:type="paragraph" w:styleId="a4">
    <w:name w:val="header"/>
    <w:basedOn w:val="a"/>
    <w:link w:val="a5"/>
    <w:uiPriority w:val="99"/>
    <w:unhideWhenUsed/>
    <w:rsid w:val="00322702"/>
    <w:pPr>
      <w:tabs>
        <w:tab w:val="center" w:pos="4677"/>
        <w:tab w:val="right" w:pos="9355"/>
      </w:tabs>
    </w:pPr>
  </w:style>
  <w:style w:type="character" w:customStyle="1" w:styleId="a5">
    <w:name w:val="Верхний колонтитул Знак"/>
    <w:basedOn w:val="a0"/>
    <w:link w:val="a4"/>
    <w:uiPriority w:val="99"/>
    <w:rsid w:val="003227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2702"/>
    <w:pPr>
      <w:spacing w:after="0" w:line="240" w:lineRule="auto"/>
    </w:pPr>
    <w:rPr>
      <w:rFonts w:ascii="Calibri" w:eastAsia="Times New Roman" w:hAnsi="Calibri" w:cs="Times New Roman"/>
      <w:lang w:val="uk-UA" w:eastAsia="uk-UA"/>
    </w:rPr>
  </w:style>
  <w:style w:type="paragraph" w:styleId="a4">
    <w:name w:val="header"/>
    <w:basedOn w:val="a"/>
    <w:link w:val="a5"/>
    <w:uiPriority w:val="99"/>
    <w:unhideWhenUsed/>
    <w:rsid w:val="00322702"/>
    <w:pPr>
      <w:tabs>
        <w:tab w:val="center" w:pos="4677"/>
        <w:tab w:val="right" w:pos="9355"/>
      </w:tabs>
    </w:pPr>
  </w:style>
  <w:style w:type="character" w:customStyle="1" w:styleId="a5">
    <w:name w:val="Верхний колонтитул Знак"/>
    <w:basedOn w:val="a0"/>
    <w:link w:val="a4"/>
    <w:uiPriority w:val="99"/>
    <w:rsid w:val="003227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2013-05-29T12:40:00Z</dcterms:created>
  <dcterms:modified xsi:type="dcterms:W3CDTF">2013-05-29T12:42:00Z</dcterms:modified>
</cp:coreProperties>
</file>