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«Про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демонтаж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тимчасов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ого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об’єкт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на території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м.Чернігова»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 xml:space="preserve">незаконне розміщення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>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Положення про комісію з демонтажу незаконно розміщених обʼєктів на території міста Чернігова (далі — Положення).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6"/>
        <w:ind w:left="0" w:right="0" w:firstLine="708"/>
        <w:jc w:val="both"/>
        <w:rPr/>
      </w:pPr>
      <w:bookmarkStart w:id="0" w:name="__DdeLink__39_2977192722"/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27 жовтня 2021 року Комісією з демонтажу прийнято протокольне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виконавчому комітету Чернігівської міської ради питання щодо демонтажу незаконно встановлен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ого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тимчасов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ого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об’єкт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об’єктів,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налічується 1 шт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. </w:t>
      </w:r>
      <w:bookmarkEnd w:id="0"/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>Віталій ХРУСТИЦЬКИЙ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8" w:top="899" w:footer="567" w:bottom="11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LibreOffice/6.0.7.3$Linux_X86_64 LibreOffice_project/00m0$Build-3</Application>
  <Pages>1</Pages>
  <Words>220</Words>
  <Characters>1534</Characters>
  <CharactersWithSpaces>1753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dcterms:modified xsi:type="dcterms:W3CDTF">2021-10-29T10:22:07Z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