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0C863" w14:textId="77777777" w:rsidR="00BA28EE" w:rsidRPr="00F94F0B" w:rsidRDefault="00BA28EE" w:rsidP="00BA28E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4F0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14:paraId="1B546B36" w14:textId="1011E404" w:rsidR="00BA28EE" w:rsidRPr="00F94F0B" w:rsidRDefault="00BA28EE" w:rsidP="008929F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4F0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F94F0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85BBE" w:rsidRPr="00F94F0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94F0B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F94F0B">
        <w:rPr>
          <w:rFonts w:ascii="Times New Roman" w:hAnsi="Times New Roman" w:cs="Times New Roman"/>
          <w:sz w:val="28"/>
          <w:szCs w:val="28"/>
          <w:lang w:val="uk-UA"/>
        </w:rPr>
        <w:t xml:space="preserve"> рішення Чернігівської міської ради</w:t>
      </w:r>
    </w:p>
    <w:p w14:paraId="10A1CA04" w14:textId="41C15ADC" w:rsidR="00BA28EE" w:rsidRPr="00F94F0B" w:rsidRDefault="00A64B32" w:rsidP="008929FE">
      <w:pPr>
        <w:ind w:right="50"/>
        <w:jc w:val="center"/>
        <w:rPr>
          <w:rFonts w:eastAsiaTheme="minorEastAsia"/>
          <w:sz w:val="28"/>
          <w:szCs w:val="28"/>
          <w:lang w:eastAsia="en-US"/>
        </w:rPr>
      </w:pPr>
      <w:r w:rsidRPr="00F94F0B">
        <w:rPr>
          <w:rFonts w:eastAsiaTheme="minorEastAsia"/>
          <w:sz w:val="28"/>
          <w:szCs w:val="28"/>
          <w:lang w:eastAsia="en-US"/>
        </w:rPr>
        <w:t>“</w:t>
      </w:r>
      <w:bookmarkStart w:id="0" w:name="_Hlk37834210"/>
      <w:r w:rsidR="00632217" w:rsidRPr="00F94F0B">
        <w:rPr>
          <w:sz w:val="28"/>
          <w:szCs w:val="28"/>
        </w:rPr>
        <w:t>Про</w:t>
      </w:r>
      <w:bookmarkEnd w:id="0"/>
      <w:r w:rsidR="00632217" w:rsidRPr="00F94F0B">
        <w:rPr>
          <w:sz w:val="28"/>
          <w:szCs w:val="28"/>
        </w:rPr>
        <w:t xml:space="preserve"> місцеві податки</w:t>
      </w:r>
      <w:r w:rsidR="00E51D29" w:rsidRPr="00F94F0B">
        <w:rPr>
          <w:sz w:val="28"/>
          <w:szCs w:val="28"/>
        </w:rPr>
        <w:t xml:space="preserve"> та збори</w:t>
      </w:r>
      <w:r w:rsidR="00960606" w:rsidRPr="00F94F0B">
        <w:rPr>
          <w:rFonts w:eastAsiaTheme="minorEastAsia"/>
          <w:sz w:val="28"/>
          <w:szCs w:val="28"/>
          <w:lang w:eastAsia="en-US"/>
        </w:rPr>
        <w:t>”</w:t>
      </w:r>
    </w:p>
    <w:p w14:paraId="29CFB54D" w14:textId="77777777" w:rsidR="00BA28EE" w:rsidRPr="00F94F0B" w:rsidRDefault="00BA28EE" w:rsidP="00BA28E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D26C5E" w14:textId="0AAEC003" w:rsidR="00632217" w:rsidRPr="00F94F0B" w:rsidRDefault="00632217" w:rsidP="00632217">
      <w:pPr>
        <w:pStyle w:val="StyleZakonu"/>
        <w:spacing w:before="120" w:after="120" w:line="240" w:lineRule="auto"/>
        <w:ind w:firstLine="709"/>
        <w:rPr>
          <w:bCs/>
          <w:sz w:val="28"/>
          <w:szCs w:val="28"/>
        </w:rPr>
      </w:pPr>
      <w:r w:rsidRPr="00F94F0B">
        <w:rPr>
          <w:sz w:val="28"/>
          <w:szCs w:val="28"/>
        </w:rPr>
        <w:t xml:space="preserve">Діюче рішення </w:t>
      </w:r>
      <w:r w:rsidRPr="00F94F0B">
        <w:rPr>
          <w:bCs/>
          <w:sz w:val="28"/>
          <w:szCs w:val="28"/>
        </w:rPr>
        <w:t>міської ради “Про місцеві податки” було прийнято 30</w:t>
      </w:r>
      <w:r w:rsidR="00DD70F0" w:rsidRPr="00F94F0B">
        <w:rPr>
          <w:bCs/>
          <w:sz w:val="28"/>
          <w:szCs w:val="28"/>
        </w:rPr>
        <w:t> </w:t>
      </w:r>
      <w:r w:rsidRPr="00F94F0B">
        <w:rPr>
          <w:bCs/>
          <w:sz w:val="28"/>
          <w:szCs w:val="28"/>
        </w:rPr>
        <w:t xml:space="preserve">січня 2015 року (47 сесія 6 скликання). Протягом 2015-2022 року </w:t>
      </w:r>
      <w:r w:rsidR="00EE1BF2" w:rsidRPr="00F94F0B">
        <w:rPr>
          <w:bCs/>
          <w:sz w:val="28"/>
          <w:szCs w:val="28"/>
        </w:rPr>
        <w:t xml:space="preserve">до зазначеного вище рішення </w:t>
      </w:r>
      <w:r w:rsidRPr="00F94F0B">
        <w:rPr>
          <w:bCs/>
          <w:sz w:val="28"/>
          <w:szCs w:val="28"/>
        </w:rPr>
        <w:t>25</w:t>
      </w:r>
      <w:r w:rsidR="00DD70F0" w:rsidRPr="00F94F0B">
        <w:rPr>
          <w:bCs/>
          <w:sz w:val="28"/>
          <w:szCs w:val="28"/>
        </w:rPr>
        <w:t> </w:t>
      </w:r>
      <w:r w:rsidRPr="00F94F0B">
        <w:rPr>
          <w:bCs/>
          <w:sz w:val="28"/>
          <w:szCs w:val="28"/>
        </w:rPr>
        <w:t>разів вносились зміни та доповнення відповідно до змін</w:t>
      </w:r>
      <w:r w:rsidR="00DD70F0" w:rsidRPr="00F94F0B">
        <w:rPr>
          <w:bCs/>
          <w:sz w:val="28"/>
          <w:szCs w:val="28"/>
        </w:rPr>
        <w:t xml:space="preserve"> норм</w:t>
      </w:r>
      <w:r w:rsidRPr="00F94F0B">
        <w:rPr>
          <w:bCs/>
          <w:sz w:val="28"/>
          <w:szCs w:val="28"/>
        </w:rPr>
        <w:t xml:space="preserve"> Податкового кодексу України</w:t>
      </w:r>
      <w:r w:rsidR="00DD70F0" w:rsidRPr="00F94F0B">
        <w:rPr>
          <w:bCs/>
          <w:sz w:val="28"/>
          <w:szCs w:val="28"/>
        </w:rPr>
        <w:t>:</w:t>
      </w:r>
      <w:r w:rsidRPr="00F94F0B">
        <w:rPr>
          <w:bCs/>
          <w:sz w:val="28"/>
          <w:szCs w:val="28"/>
        </w:rPr>
        <w:t xml:space="preserve"> 49 сесія, 53 сесія 6 скликання, № 3/VII-11, № 13/VII-20, № 14/VII-20, № 16/VII-2, № 19/VII-16, № 25/VII-26, № 26/VII-14, № 28/VII-21, № 29/VII-19, № 35/VII-22, № 36/VII-30, № 38/VII-5, № 40/VII-7, № 41/VII -9, № 43/VII -7, № 48/VII -22, № 53/VII -17, № 2/VIIІ-38, № 3/VIIІ-27, № 4/VIIІ-8, № 7/VIIІ-14, № 10/VIIІ-36, № 15/VIIІ-14.</w:t>
      </w:r>
    </w:p>
    <w:p w14:paraId="0BA4C638" w14:textId="6D08DBB3" w:rsidR="000B1DBD" w:rsidRPr="00F94F0B" w:rsidRDefault="00DD70F0" w:rsidP="00632217">
      <w:pPr>
        <w:pStyle w:val="StyleZakonu"/>
        <w:spacing w:before="120" w:after="120" w:line="240" w:lineRule="auto"/>
        <w:ind w:firstLine="709"/>
        <w:rPr>
          <w:bCs/>
          <w:sz w:val="28"/>
          <w:szCs w:val="28"/>
        </w:rPr>
      </w:pPr>
      <w:r w:rsidRPr="00F94F0B">
        <w:rPr>
          <w:bCs/>
          <w:sz w:val="28"/>
          <w:szCs w:val="28"/>
        </w:rPr>
        <w:t>Останні зміни до</w:t>
      </w:r>
      <w:r w:rsidR="000B1DBD" w:rsidRPr="00F94F0B">
        <w:rPr>
          <w:bCs/>
          <w:sz w:val="28"/>
          <w:szCs w:val="28"/>
        </w:rPr>
        <w:t xml:space="preserve"> </w:t>
      </w:r>
      <w:r w:rsidR="00AF3899" w:rsidRPr="00F94F0B">
        <w:rPr>
          <w:bCs/>
          <w:sz w:val="28"/>
          <w:szCs w:val="28"/>
        </w:rPr>
        <w:t xml:space="preserve">зазначеного вище </w:t>
      </w:r>
      <w:r w:rsidR="000B1DBD" w:rsidRPr="00F94F0B">
        <w:rPr>
          <w:bCs/>
          <w:sz w:val="28"/>
          <w:szCs w:val="28"/>
        </w:rPr>
        <w:t>рішення вн</w:t>
      </w:r>
      <w:r w:rsidR="00AF3899" w:rsidRPr="00F94F0B">
        <w:rPr>
          <w:bCs/>
          <w:sz w:val="28"/>
          <w:szCs w:val="28"/>
        </w:rPr>
        <w:t>о</w:t>
      </w:r>
      <w:r w:rsidR="000B1DBD" w:rsidRPr="00F94F0B">
        <w:rPr>
          <w:bCs/>
          <w:sz w:val="28"/>
          <w:szCs w:val="28"/>
        </w:rPr>
        <w:t>силися</w:t>
      </w:r>
      <w:r w:rsidR="00AF3899" w:rsidRPr="00F94F0B">
        <w:rPr>
          <w:bCs/>
          <w:sz w:val="28"/>
          <w:szCs w:val="28"/>
        </w:rPr>
        <w:t xml:space="preserve"> у грудні 2021 року. 30 листопада 2021 року прийнято Закон України</w:t>
      </w:r>
      <w:r w:rsidR="008167EB" w:rsidRPr="00F94F0B">
        <w:rPr>
          <w:bCs/>
          <w:sz w:val="28"/>
          <w:szCs w:val="28"/>
        </w:rPr>
        <w:t xml:space="preserve"> “Про внесення змін до Податкового кодексу України та інших законодавчих актів України щодо забезпечення збалансованості бюджетних надходжень”</w:t>
      </w:r>
      <w:r w:rsidR="00AF3899" w:rsidRPr="00F94F0B">
        <w:rPr>
          <w:bCs/>
          <w:sz w:val="28"/>
          <w:szCs w:val="28"/>
        </w:rPr>
        <w:t xml:space="preserve">, який набув чинності 01.01.2022 року. </w:t>
      </w:r>
    </w:p>
    <w:p w14:paraId="13A75AD0" w14:textId="6F624953" w:rsidR="00B270BC" w:rsidRPr="00F94F0B" w:rsidRDefault="00B270BC" w:rsidP="00B270BC">
      <w:pPr>
        <w:pStyle w:val="StyleZakonu"/>
        <w:spacing w:before="120" w:after="120" w:line="240" w:lineRule="auto"/>
        <w:ind w:firstLine="709"/>
        <w:rPr>
          <w:bCs/>
          <w:sz w:val="28"/>
          <w:szCs w:val="28"/>
        </w:rPr>
      </w:pPr>
      <w:r w:rsidRPr="00F94F0B">
        <w:rPr>
          <w:bCs/>
          <w:sz w:val="28"/>
          <w:szCs w:val="28"/>
        </w:rPr>
        <w:t>Відповідно до пункту 12.3. статті 12 міські ради приймають рішення про встановлення місцевих податків та зборів та податкових пільг зі сплати місцевих податків і зборів до 15 липня року, що передує бюджетному періоду, в якому планується застосовування встановлюваних місцевих податків та/або зборів, та п</w:t>
      </w:r>
      <w:r w:rsidR="009A2086" w:rsidRPr="00F94F0B">
        <w:rPr>
          <w:bCs/>
          <w:sz w:val="28"/>
          <w:szCs w:val="28"/>
        </w:rPr>
        <w:t>р</w:t>
      </w:r>
      <w:r w:rsidRPr="00F94F0B">
        <w:rPr>
          <w:bCs/>
          <w:sz w:val="28"/>
          <w:szCs w:val="28"/>
        </w:rPr>
        <w:t>о внесення змін до таких рішень.</w:t>
      </w:r>
    </w:p>
    <w:p w14:paraId="769FDF0F" w14:textId="168FFC5C" w:rsidR="00B270BC" w:rsidRPr="00F94F0B" w:rsidRDefault="00B270BC" w:rsidP="00B270BC">
      <w:pPr>
        <w:pStyle w:val="StyleZakonu"/>
        <w:spacing w:before="120" w:after="120" w:line="240" w:lineRule="auto"/>
        <w:ind w:firstLine="709"/>
        <w:rPr>
          <w:bCs/>
          <w:sz w:val="28"/>
          <w:szCs w:val="28"/>
        </w:rPr>
      </w:pPr>
      <w:r w:rsidRPr="00F94F0B">
        <w:rPr>
          <w:bCs/>
          <w:sz w:val="28"/>
          <w:szCs w:val="28"/>
        </w:rPr>
        <w:t>Відповідно до підпункту 12.3.8. пункту 12.3. статті 12 на період дії воєнного чи надзвичайного стану міські ради мають право приймати рішення</w:t>
      </w:r>
      <w:bookmarkStart w:id="1" w:name="_GoBack"/>
      <w:bookmarkEnd w:id="1"/>
      <w:r w:rsidRPr="00F94F0B">
        <w:rPr>
          <w:bCs/>
          <w:sz w:val="28"/>
          <w:szCs w:val="28"/>
        </w:rPr>
        <w:t xml:space="preserve"> про встановлення місцевих податків та/або зборів та податкових пільг із сплати місцевих податків та/або зборів без застосування процедур, передбачених</w:t>
      </w:r>
      <w:r w:rsidR="002C4C0C" w:rsidRPr="00F94F0B">
        <w:rPr>
          <w:bCs/>
          <w:sz w:val="28"/>
          <w:szCs w:val="28"/>
        </w:rPr>
        <w:t xml:space="preserve"> </w:t>
      </w:r>
      <w:hyperlink r:id="rId4" w:tgtFrame="_blank" w:history="1">
        <w:r w:rsidRPr="00F94F0B">
          <w:rPr>
            <w:bCs/>
            <w:sz w:val="28"/>
            <w:szCs w:val="28"/>
          </w:rPr>
          <w:t>Законом України</w:t>
        </w:r>
      </w:hyperlink>
      <w:r w:rsidR="002C4C0C" w:rsidRPr="00F94F0B">
        <w:rPr>
          <w:bCs/>
          <w:sz w:val="28"/>
          <w:szCs w:val="28"/>
        </w:rPr>
        <w:t xml:space="preserve"> “</w:t>
      </w:r>
      <w:r w:rsidRPr="00F94F0B">
        <w:rPr>
          <w:bCs/>
          <w:sz w:val="28"/>
          <w:szCs w:val="28"/>
        </w:rPr>
        <w:t>Про засади державної регуляторної політики у сфері господарської діяльності</w:t>
      </w:r>
      <w:r w:rsidR="002C4C0C" w:rsidRPr="00F94F0B">
        <w:rPr>
          <w:bCs/>
          <w:sz w:val="28"/>
          <w:szCs w:val="28"/>
        </w:rPr>
        <w:t>”</w:t>
      </w:r>
      <w:r w:rsidRPr="00F94F0B">
        <w:rPr>
          <w:bCs/>
          <w:sz w:val="28"/>
          <w:szCs w:val="28"/>
        </w:rPr>
        <w:t>.</w:t>
      </w:r>
    </w:p>
    <w:p w14:paraId="066B8BD3" w14:textId="38FBC59C" w:rsidR="00511FA2" w:rsidRPr="00F94F0B" w:rsidRDefault="00511FA2" w:rsidP="00511FA2">
      <w:pPr>
        <w:pStyle w:val="StyleZakonu"/>
        <w:spacing w:before="120" w:after="120" w:line="240" w:lineRule="auto"/>
        <w:ind w:firstLine="709"/>
        <w:rPr>
          <w:bCs/>
          <w:sz w:val="28"/>
          <w:szCs w:val="28"/>
        </w:rPr>
      </w:pPr>
      <w:proofErr w:type="spellStart"/>
      <w:r w:rsidRPr="00F94F0B">
        <w:rPr>
          <w:bCs/>
          <w:sz w:val="28"/>
          <w:szCs w:val="28"/>
        </w:rPr>
        <w:t>Проєкт</w:t>
      </w:r>
      <w:proofErr w:type="spellEnd"/>
      <w:r w:rsidRPr="00F94F0B">
        <w:rPr>
          <w:bCs/>
          <w:sz w:val="28"/>
          <w:szCs w:val="28"/>
        </w:rPr>
        <w:t xml:space="preserve"> рішення підготовлено з метою приведення розмірів ставок, порядку обчислення та сплати місцевих податків та зборів у відповідність до норм Податкового кодексу України зі змінами </w:t>
      </w:r>
      <w:r w:rsidRPr="00F94F0B">
        <w:rPr>
          <w:sz w:val="28"/>
          <w:szCs w:val="28"/>
        </w:rPr>
        <w:t>і доповненнями.</w:t>
      </w:r>
      <w:r w:rsidRPr="00F94F0B">
        <w:rPr>
          <w:bCs/>
          <w:sz w:val="28"/>
          <w:szCs w:val="28"/>
        </w:rPr>
        <w:t xml:space="preserve"> </w:t>
      </w:r>
    </w:p>
    <w:p w14:paraId="2BC0E8A7" w14:textId="2CD10F58" w:rsidR="00632217" w:rsidRPr="00F94F0B" w:rsidRDefault="00B270BC" w:rsidP="00632217">
      <w:pPr>
        <w:pStyle w:val="StyleZakonu"/>
        <w:spacing w:after="120" w:line="240" w:lineRule="auto"/>
        <w:ind w:firstLine="709"/>
        <w:rPr>
          <w:bCs/>
          <w:sz w:val="28"/>
          <w:szCs w:val="28"/>
        </w:rPr>
      </w:pPr>
      <w:r w:rsidRPr="00F94F0B">
        <w:rPr>
          <w:bCs/>
          <w:sz w:val="28"/>
          <w:szCs w:val="28"/>
        </w:rPr>
        <w:t>Пропонується</w:t>
      </w:r>
      <w:r w:rsidR="00632217" w:rsidRPr="00F94F0B">
        <w:rPr>
          <w:bCs/>
          <w:sz w:val="28"/>
          <w:szCs w:val="28"/>
        </w:rPr>
        <w:t xml:space="preserve"> затвердити</w:t>
      </w:r>
      <w:r w:rsidRPr="00F94F0B">
        <w:rPr>
          <w:bCs/>
          <w:sz w:val="28"/>
          <w:szCs w:val="28"/>
        </w:rPr>
        <w:t xml:space="preserve"> місцеві податки та збори та</w:t>
      </w:r>
      <w:r w:rsidR="00632217" w:rsidRPr="00F94F0B">
        <w:rPr>
          <w:bCs/>
          <w:sz w:val="28"/>
          <w:szCs w:val="28"/>
        </w:rPr>
        <w:t xml:space="preserve"> розміри їх ставок</w:t>
      </w:r>
      <w:r w:rsidR="00102DDD" w:rsidRPr="00F94F0B">
        <w:rPr>
          <w:bCs/>
          <w:sz w:val="28"/>
          <w:szCs w:val="28"/>
        </w:rPr>
        <w:t xml:space="preserve"> згідно з додатком 1</w:t>
      </w:r>
      <w:r w:rsidRPr="00F94F0B">
        <w:rPr>
          <w:bCs/>
          <w:sz w:val="28"/>
          <w:szCs w:val="28"/>
        </w:rPr>
        <w:t xml:space="preserve"> до рішення</w:t>
      </w:r>
      <w:r w:rsidR="00102DDD" w:rsidRPr="00F94F0B">
        <w:rPr>
          <w:bCs/>
          <w:sz w:val="28"/>
          <w:szCs w:val="28"/>
        </w:rPr>
        <w:t>.</w:t>
      </w:r>
    </w:p>
    <w:p w14:paraId="1C0CE134" w14:textId="4651FF7C" w:rsidR="00102DDD" w:rsidRPr="00F94F0B" w:rsidRDefault="00102DDD" w:rsidP="00102DDD">
      <w:pPr>
        <w:pStyle w:val="StyleZakonu"/>
        <w:spacing w:before="120" w:after="120" w:line="240" w:lineRule="auto"/>
        <w:ind w:firstLine="709"/>
        <w:rPr>
          <w:bCs/>
          <w:sz w:val="28"/>
          <w:szCs w:val="28"/>
        </w:rPr>
      </w:pPr>
      <w:r w:rsidRPr="00F94F0B">
        <w:rPr>
          <w:bCs/>
          <w:sz w:val="28"/>
          <w:szCs w:val="28"/>
        </w:rPr>
        <w:t>Також пропонується затвердити:</w:t>
      </w:r>
    </w:p>
    <w:p w14:paraId="35285B2D" w14:textId="1A4B4C29" w:rsidR="00102DDD" w:rsidRPr="00F94F0B" w:rsidRDefault="00102DDD" w:rsidP="00102DDD">
      <w:pPr>
        <w:pStyle w:val="StyleZakonu"/>
        <w:spacing w:before="120" w:after="120" w:line="240" w:lineRule="auto"/>
        <w:ind w:firstLine="709"/>
        <w:rPr>
          <w:bCs/>
          <w:sz w:val="28"/>
          <w:szCs w:val="28"/>
        </w:rPr>
      </w:pPr>
      <w:r w:rsidRPr="00F94F0B">
        <w:rPr>
          <w:bCs/>
          <w:sz w:val="28"/>
          <w:szCs w:val="28"/>
        </w:rPr>
        <w:t>- Положення про податок на нерухоме майно, відмінне від земельної ділянки, згідно з додатком 2 разом з додатком до нього.</w:t>
      </w:r>
    </w:p>
    <w:p w14:paraId="683E8FEB" w14:textId="6667D638" w:rsidR="00102DDD" w:rsidRPr="00F94F0B" w:rsidRDefault="00102DDD" w:rsidP="00102DDD">
      <w:pPr>
        <w:pStyle w:val="StyleZakonu"/>
        <w:spacing w:before="120" w:after="120" w:line="240" w:lineRule="auto"/>
        <w:ind w:firstLine="709"/>
        <w:rPr>
          <w:bCs/>
          <w:sz w:val="28"/>
          <w:szCs w:val="28"/>
        </w:rPr>
      </w:pPr>
      <w:r w:rsidRPr="00F94F0B">
        <w:rPr>
          <w:bCs/>
          <w:sz w:val="28"/>
          <w:szCs w:val="28"/>
        </w:rPr>
        <w:t xml:space="preserve">- Положення про транспортний податок згідно з додатком 3. </w:t>
      </w:r>
    </w:p>
    <w:p w14:paraId="64D01878" w14:textId="7BD85B85" w:rsidR="00102DDD" w:rsidRPr="00F94F0B" w:rsidRDefault="00102DDD" w:rsidP="00102DDD">
      <w:pPr>
        <w:pStyle w:val="StyleZakonu"/>
        <w:spacing w:before="120" w:after="120" w:line="240" w:lineRule="auto"/>
        <w:ind w:firstLine="709"/>
        <w:rPr>
          <w:bCs/>
          <w:sz w:val="28"/>
          <w:szCs w:val="28"/>
        </w:rPr>
      </w:pPr>
      <w:r w:rsidRPr="00F94F0B">
        <w:rPr>
          <w:bCs/>
          <w:sz w:val="28"/>
          <w:szCs w:val="28"/>
        </w:rPr>
        <w:t>- Положення про плату за землю згідно з додатком 4.</w:t>
      </w:r>
    </w:p>
    <w:p w14:paraId="5CDCD279" w14:textId="55A53FD8" w:rsidR="00102DDD" w:rsidRPr="00F94F0B" w:rsidRDefault="00102DDD" w:rsidP="00102DDD">
      <w:pPr>
        <w:pStyle w:val="StyleZakonu"/>
        <w:spacing w:before="120" w:after="120" w:line="240" w:lineRule="auto"/>
        <w:ind w:firstLine="709"/>
        <w:rPr>
          <w:bCs/>
          <w:sz w:val="28"/>
          <w:szCs w:val="28"/>
        </w:rPr>
      </w:pPr>
      <w:r w:rsidRPr="00F94F0B">
        <w:rPr>
          <w:bCs/>
          <w:sz w:val="28"/>
          <w:szCs w:val="28"/>
        </w:rPr>
        <w:lastRenderedPageBreak/>
        <w:t>- Положення про єдиний податок згідно з додатком 5 до цього рішення.</w:t>
      </w:r>
    </w:p>
    <w:p w14:paraId="1E8348A5" w14:textId="6EC5D5A1" w:rsidR="00102DDD" w:rsidRPr="00F94F0B" w:rsidRDefault="00102DDD" w:rsidP="00102DDD">
      <w:pPr>
        <w:pStyle w:val="StyleZakonu"/>
        <w:spacing w:before="120" w:after="120" w:line="240" w:lineRule="auto"/>
        <w:ind w:firstLine="709"/>
        <w:rPr>
          <w:bCs/>
          <w:sz w:val="28"/>
          <w:szCs w:val="28"/>
        </w:rPr>
      </w:pPr>
      <w:r w:rsidRPr="00F94F0B">
        <w:rPr>
          <w:bCs/>
          <w:sz w:val="28"/>
          <w:szCs w:val="28"/>
        </w:rPr>
        <w:t>- Положення про збір за місця для паркування транспортних засобів згідно з додатком 6 до цього рішення разом з додатком до нього.</w:t>
      </w:r>
    </w:p>
    <w:p w14:paraId="2D86AFDE" w14:textId="59165AB9" w:rsidR="00102DDD" w:rsidRPr="00F94F0B" w:rsidRDefault="00102DDD" w:rsidP="00102DDD">
      <w:pPr>
        <w:pStyle w:val="StyleZakonu"/>
        <w:spacing w:before="120" w:after="120" w:line="240" w:lineRule="auto"/>
        <w:ind w:firstLine="709"/>
        <w:rPr>
          <w:bCs/>
          <w:sz w:val="28"/>
          <w:szCs w:val="28"/>
        </w:rPr>
      </w:pPr>
      <w:r w:rsidRPr="00F94F0B">
        <w:rPr>
          <w:bCs/>
          <w:sz w:val="28"/>
          <w:szCs w:val="28"/>
        </w:rPr>
        <w:t>- Положення про туристичний збір згідно з додатком 7 до цього рішення.</w:t>
      </w:r>
    </w:p>
    <w:p w14:paraId="5E16A363" w14:textId="50AD1727" w:rsidR="00102DDD" w:rsidRDefault="00102DDD" w:rsidP="00102DDD">
      <w:pPr>
        <w:pStyle w:val="StyleZakonu"/>
        <w:spacing w:before="120" w:after="120" w:line="240" w:lineRule="auto"/>
        <w:ind w:firstLine="709"/>
        <w:rPr>
          <w:bCs/>
          <w:sz w:val="28"/>
          <w:szCs w:val="28"/>
        </w:rPr>
      </w:pPr>
      <w:r w:rsidRPr="00F94F0B">
        <w:rPr>
          <w:bCs/>
          <w:sz w:val="28"/>
          <w:szCs w:val="28"/>
        </w:rPr>
        <w:t>Це рішення набирає чинності з 1 січня 2023 року.</w:t>
      </w:r>
    </w:p>
    <w:p w14:paraId="1B5E0A03" w14:textId="01B2DC93" w:rsidR="00526CEF" w:rsidRPr="00B04164" w:rsidRDefault="00526CEF" w:rsidP="00102DDD">
      <w:pPr>
        <w:pStyle w:val="StyleZakonu"/>
        <w:spacing w:before="120" w:after="120" w:line="240" w:lineRule="auto"/>
        <w:ind w:firstLine="709"/>
        <w:rPr>
          <w:bCs/>
          <w:sz w:val="28"/>
          <w:szCs w:val="28"/>
        </w:rPr>
      </w:pPr>
      <w:r w:rsidRPr="00B04164">
        <w:rPr>
          <w:bCs/>
          <w:sz w:val="28"/>
          <w:szCs w:val="28"/>
        </w:rPr>
        <w:t xml:space="preserve">На період дії правового режиму воєнного, надзвичайного стану, надзвичайної ситуації та інше норми положень, затверджених пунктом 2 цього рішення, застосовуються з урахуванням особливостей, зазначених у </w:t>
      </w:r>
      <w:hyperlink r:id="rId5" w:anchor="n8012" w:tgtFrame="_blank" w:history="1">
        <w:r w:rsidRPr="00B04164">
          <w:rPr>
            <w:bCs/>
            <w:sz w:val="28"/>
            <w:szCs w:val="28"/>
          </w:rPr>
          <w:t>розділі XX</w:t>
        </w:r>
      </w:hyperlink>
      <w:r w:rsidRPr="00B04164">
        <w:rPr>
          <w:bCs/>
          <w:sz w:val="28"/>
          <w:szCs w:val="28"/>
        </w:rPr>
        <w:t xml:space="preserve"> “Перехідні положення”</w:t>
      </w:r>
      <w:r w:rsidRPr="00B04164">
        <w:rPr>
          <w:sz w:val="28"/>
          <w:szCs w:val="28"/>
        </w:rPr>
        <w:t xml:space="preserve"> Податкового кодексу України зі змінами і доповненнями.</w:t>
      </w:r>
    </w:p>
    <w:p w14:paraId="0F251114" w14:textId="26DC4538" w:rsidR="00102DDD" w:rsidRDefault="002C4C0C" w:rsidP="00632217">
      <w:pPr>
        <w:pStyle w:val="StyleZakonu"/>
        <w:spacing w:after="120" w:line="240" w:lineRule="auto"/>
        <w:ind w:firstLine="709"/>
        <w:rPr>
          <w:bCs/>
          <w:sz w:val="28"/>
          <w:szCs w:val="28"/>
        </w:rPr>
      </w:pPr>
      <w:r w:rsidRPr="00B04164">
        <w:rPr>
          <w:bCs/>
          <w:sz w:val="28"/>
          <w:szCs w:val="28"/>
        </w:rPr>
        <w:t>Порівняльн</w:t>
      </w:r>
      <w:r w:rsidR="00F94F0B" w:rsidRPr="00B04164">
        <w:rPr>
          <w:bCs/>
          <w:sz w:val="28"/>
          <w:szCs w:val="28"/>
        </w:rPr>
        <w:t xml:space="preserve">і </w:t>
      </w:r>
      <w:r w:rsidRPr="00B04164">
        <w:rPr>
          <w:bCs/>
          <w:sz w:val="28"/>
          <w:szCs w:val="28"/>
        </w:rPr>
        <w:t>таблиц</w:t>
      </w:r>
      <w:r w:rsidR="00F94F0B" w:rsidRPr="00B04164">
        <w:rPr>
          <w:bCs/>
          <w:sz w:val="28"/>
          <w:szCs w:val="28"/>
        </w:rPr>
        <w:t>і</w:t>
      </w:r>
      <w:r w:rsidRPr="00B04164">
        <w:rPr>
          <w:bCs/>
          <w:sz w:val="28"/>
          <w:szCs w:val="28"/>
        </w:rPr>
        <w:t xml:space="preserve"> в частині змін ставок </w:t>
      </w:r>
      <w:r w:rsidR="00F94F0B" w:rsidRPr="00B04164">
        <w:rPr>
          <w:bCs/>
          <w:sz w:val="28"/>
          <w:szCs w:val="28"/>
        </w:rPr>
        <w:t xml:space="preserve"> земельного податку та розмірів</w:t>
      </w:r>
      <w:r w:rsidR="00F94F0B" w:rsidRPr="00F94F0B">
        <w:rPr>
          <w:bCs/>
          <w:sz w:val="28"/>
          <w:szCs w:val="28"/>
        </w:rPr>
        <w:t xml:space="preserve"> орендної плати </w:t>
      </w:r>
      <w:r w:rsidRPr="00F94F0B">
        <w:rPr>
          <w:bCs/>
          <w:sz w:val="28"/>
          <w:szCs w:val="28"/>
        </w:rPr>
        <w:t>за землю дода</w:t>
      </w:r>
      <w:r w:rsidR="00F94F0B" w:rsidRPr="00F94F0B">
        <w:rPr>
          <w:bCs/>
          <w:sz w:val="28"/>
          <w:szCs w:val="28"/>
        </w:rPr>
        <w:t>ю</w:t>
      </w:r>
      <w:r w:rsidRPr="00F94F0B">
        <w:rPr>
          <w:bCs/>
          <w:sz w:val="28"/>
          <w:szCs w:val="28"/>
        </w:rPr>
        <w:t>ться</w:t>
      </w:r>
    </w:p>
    <w:p w14:paraId="6B5848A9" w14:textId="34E87B00" w:rsidR="00F94F0B" w:rsidRDefault="00F94F0B" w:rsidP="00632217">
      <w:pPr>
        <w:pStyle w:val="StyleZakonu"/>
        <w:spacing w:after="120" w:line="240" w:lineRule="auto"/>
        <w:ind w:firstLine="709"/>
        <w:rPr>
          <w:bCs/>
          <w:sz w:val="28"/>
          <w:szCs w:val="28"/>
        </w:rPr>
      </w:pPr>
    </w:p>
    <w:p w14:paraId="5E4615DB" w14:textId="77777777" w:rsidR="00F94F0B" w:rsidRPr="00F94F0B" w:rsidRDefault="00F94F0B" w:rsidP="00632217">
      <w:pPr>
        <w:pStyle w:val="StyleZakonu"/>
        <w:spacing w:after="120" w:line="240" w:lineRule="auto"/>
        <w:ind w:firstLine="709"/>
        <w:rPr>
          <w:bCs/>
          <w:sz w:val="28"/>
          <w:szCs w:val="28"/>
        </w:rPr>
      </w:pPr>
    </w:p>
    <w:p w14:paraId="74CFE663" w14:textId="77777777" w:rsidR="001356DF" w:rsidRPr="00F94F0B" w:rsidRDefault="001356DF" w:rsidP="008E125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F0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</w:t>
      </w:r>
    </w:p>
    <w:p w14:paraId="2EDCA4AA" w14:textId="0B789602" w:rsidR="00BA28EE" w:rsidRDefault="001356DF" w:rsidP="00BE1E7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F0B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8E125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Олена ЛИСЕНКО</w:t>
      </w:r>
    </w:p>
    <w:sectPr w:rsidR="00BA28EE" w:rsidSect="003D63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0"/>
    <w:rsid w:val="00027435"/>
    <w:rsid w:val="000301C8"/>
    <w:rsid w:val="000471C3"/>
    <w:rsid w:val="00061386"/>
    <w:rsid w:val="00082EFD"/>
    <w:rsid w:val="000B1DBD"/>
    <w:rsid w:val="000D0108"/>
    <w:rsid w:val="00102DDD"/>
    <w:rsid w:val="001356DF"/>
    <w:rsid w:val="00154BD7"/>
    <w:rsid w:val="00176880"/>
    <w:rsid w:val="001B53E0"/>
    <w:rsid w:val="001D5232"/>
    <w:rsid w:val="00205D80"/>
    <w:rsid w:val="00206645"/>
    <w:rsid w:val="00217E58"/>
    <w:rsid w:val="002314F2"/>
    <w:rsid w:val="002711D0"/>
    <w:rsid w:val="0028373F"/>
    <w:rsid w:val="00293D6F"/>
    <w:rsid w:val="002C4C0C"/>
    <w:rsid w:val="002F0113"/>
    <w:rsid w:val="002F4D2E"/>
    <w:rsid w:val="00365B19"/>
    <w:rsid w:val="0036714C"/>
    <w:rsid w:val="00377A91"/>
    <w:rsid w:val="0038526C"/>
    <w:rsid w:val="003B22D4"/>
    <w:rsid w:val="003B388C"/>
    <w:rsid w:val="003C224E"/>
    <w:rsid w:val="003D3990"/>
    <w:rsid w:val="003D63E2"/>
    <w:rsid w:val="0042597B"/>
    <w:rsid w:val="00425B50"/>
    <w:rsid w:val="004924CC"/>
    <w:rsid w:val="004B38E4"/>
    <w:rsid w:val="00500D04"/>
    <w:rsid w:val="00511FA2"/>
    <w:rsid w:val="00526CEF"/>
    <w:rsid w:val="00550EE0"/>
    <w:rsid w:val="00574636"/>
    <w:rsid w:val="005A3F29"/>
    <w:rsid w:val="006129EB"/>
    <w:rsid w:val="00612C1F"/>
    <w:rsid w:val="00623268"/>
    <w:rsid w:val="00632217"/>
    <w:rsid w:val="006E670F"/>
    <w:rsid w:val="0074655B"/>
    <w:rsid w:val="00747BE4"/>
    <w:rsid w:val="007517E4"/>
    <w:rsid w:val="00785BBE"/>
    <w:rsid w:val="00794555"/>
    <w:rsid w:val="007C51D3"/>
    <w:rsid w:val="007C6B76"/>
    <w:rsid w:val="007D354C"/>
    <w:rsid w:val="008167EB"/>
    <w:rsid w:val="008169D2"/>
    <w:rsid w:val="008170B4"/>
    <w:rsid w:val="00834ED8"/>
    <w:rsid w:val="008929FE"/>
    <w:rsid w:val="008C114D"/>
    <w:rsid w:val="008D2B5F"/>
    <w:rsid w:val="008E1259"/>
    <w:rsid w:val="008E5370"/>
    <w:rsid w:val="00930594"/>
    <w:rsid w:val="00960606"/>
    <w:rsid w:val="00966AA2"/>
    <w:rsid w:val="00967BB5"/>
    <w:rsid w:val="009749AF"/>
    <w:rsid w:val="0099185A"/>
    <w:rsid w:val="009A2086"/>
    <w:rsid w:val="009E6536"/>
    <w:rsid w:val="00A27477"/>
    <w:rsid w:val="00A27A05"/>
    <w:rsid w:val="00A37C1B"/>
    <w:rsid w:val="00A45851"/>
    <w:rsid w:val="00A5533C"/>
    <w:rsid w:val="00A5715B"/>
    <w:rsid w:val="00A64B32"/>
    <w:rsid w:val="00A67D8A"/>
    <w:rsid w:val="00AA254D"/>
    <w:rsid w:val="00AA622A"/>
    <w:rsid w:val="00AE44C6"/>
    <w:rsid w:val="00AE7413"/>
    <w:rsid w:val="00AF3899"/>
    <w:rsid w:val="00B04164"/>
    <w:rsid w:val="00B270BC"/>
    <w:rsid w:val="00B52B06"/>
    <w:rsid w:val="00B737CA"/>
    <w:rsid w:val="00BA277D"/>
    <w:rsid w:val="00BA28EE"/>
    <w:rsid w:val="00BA75B8"/>
    <w:rsid w:val="00BB2346"/>
    <w:rsid w:val="00BD0F9D"/>
    <w:rsid w:val="00BE1E7F"/>
    <w:rsid w:val="00BE36E5"/>
    <w:rsid w:val="00BE6049"/>
    <w:rsid w:val="00BF1202"/>
    <w:rsid w:val="00C1767F"/>
    <w:rsid w:val="00C421B1"/>
    <w:rsid w:val="00C73331"/>
    <w:rsid w:val="00C7544D"/>
    <w:rsid w:val="00CC6EAD"/>
    <w:rsid w:val="00CE468E"/>
    <w:rsid w:val="00D00CF4"/>
    <w:rsid w:val="00D33510"/>
    <w:rsid w:val="00D5177F"/>
    <w:rsid w:val="00D9571F"/>
    <w:rsid w:val="00D95AC8"/>
    <w:rsid w:val="00D95F55"/>
    <w:rsid w:val="00D96E8C"/>
    <w:rsid w:val="00DC417D"/>
    <w:rsid w:val="00DD70F0"/>
    <w:rsid w:val="00DE3093"/>
    <w:rsid w:val="00DF5D1C"/>
    <w:rsid w:val="00E213E6"/>
    <w:rsid w:val="00E51D29"/>
    <w:rsid w:val="00E6741B"/>
    <w:rsid w:val="00EE1BF2"/>
    <w:rsid w:val="00F01BC1"/>
    <w:rsid w:val="00F33044"/>
    <w:rsid w:val="00F82071"/>
    <w:rsid w:val="00F93189"/>
    <w:rsid w:val="00F94F0B"/>
    <w:rsid w:val="00FA07D6"/>
    <w:rsid w:val="00FA139E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2262"/>
  <w15:chartTrackingRefBased/>
  <w15:docId w15:val="{A5E4EBAE-0758-41A5-9772-A45D509A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5A3F29"/>
    <w:pPr>
      <w:keepNext/>
      <w:ind w:firstLine="851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B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20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07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5A3F2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">
    <w:name w:val="Знак Знак Знак Знак1 Знак Знак Знак"/>
    <w:basedOn w:val="a"/>
    <w:rsid w:val="00960606"/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39"/>
    <w:rsid w:val="0096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314F2"/>
    <w:rPr>
      <w:color w:val="0000FF"/>
      <w:u w:val="single"/>
    </w:rPr>
  </w:style>
  <w:style w:type="paragraph" w:customStyle="1" w:styleId="StyleZakonu">
    <w:name w:val="StyleZakonu"/>
    <w:basedOn w:val="a"/>
    <w:link w:val="StyleZakonu0"/>
    <w:rsid w:val="00632217"/>
    <w:pPr>
      <w:spacing w:after="60" w:line="220" w:lineRule="exact"/>
      <w:ind w:firstLine="284"/>
      <w:jc w:val="both"/>
    </w:pPr>
  </w:style>
  <w:style w:type="character" w:customStyle="1" w:styleId="StyleZakonu0">
    <w:name w:val="StyleZakonu Знак"/>
    <w:link w:val="StyleZakonu"/>
    <w:locked/>
    <w:rsid w:val="0063221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Indent 2"/>
    <w:basedOn w:val="a"/>
    <w:link w:val="22"/>
    <w:rsid w:val="0063221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3221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hyperlink" Target="https://zakon.rada.gov.ua/laws/show/1160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2087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Kocherga</cp:lastModifiedBy>
  <cp:revision>29</cp:revision>
  <cp:lastPrinted>2022-04-18T11:05:00Z</cp:lastPrinted>
  <dcterms:created xsi:type="dcterms:W3CDTF">2022-04-18T12:02:00Z</dcterms:created>
  <dcterms:modified xsi:type="dcterms:W3CDTF">2022-06-27T08:08:00Z</dcterms:modified>
</cp:coreProperties>
</file>