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2" w:rsidRPr="00FC0512" w:rsidRDefault="00FC0512" w:rsidP="00FC0512">
      <w:pPr>
        <w:keepNext/>
        <w:spacing w:before="0"/>
        <w:jc w:val="center"/>
        <w:outlineLvl w:val="0"/>
        <w:rPr>
          <w:rFonts w:ascii="Times New Roman" w:eastAsia="Times New Roman" w:hAnsi="Times New Roman" w:cs="Times New Roman"/>
          <w:sz w:val="28"/>
          <w:szCs w:val="20"/>
          <w:lang w:eastAsia="ru-RU"/>
        </w:rPr>
      </w:pPr>
      <w:r w:rsidRPr="00FC0512">
        <w:rPr>
          <w:rFonts w:ascii="Times New Roman" w:eastAsia="Times New Roman" w:hAnsi="Times New Roman" w:cs="Times New Roman"/>
          <w:sz w:val="28"/>
          <w:szCs w:val="20"/>
          <w:lang w:eastAsia="ru-RU"/>
        </w:rPr>
        <w:t>ПОЯСНЮВАЛЬНА  ЗАПИСКА</w:t>
      </w:r>
    </w:p>
    <w:p w:rsidR="00FC0512" w:rsidRPr="00FC0512" w:rsidRDefault="00FC0512" w:rsidP="00FC0512">
      <w:pPr>
        <w:spacing w:before="0"/>
        <w:jc w:val="center"/>
        <w:rPr>
          <w:rFonts w:ascii="Times New Roman" w:eastAsia="Times New Roman" w:hAnsi="Times New Roman" w:cs="Times New Roman"/>
          <w:color w:val="000000"/>
          <w:sz w:val="28"/>
          <w:szCs w:val="28"/>
          <w:lang w:eastAsia="ru-RU"/>
        </w:rPr>
      </w:pPr>
      <w:r w:rsidRPr="00FC0512">
        <w:rPr>
          <w:rFonts w:ascii="Times New Roman" w:eastAsia="Times New Roman" w:hAnsi="Times New Roman" w:cs="Times New Roman"/>
          <w:sz w:val="28"/>
          <w:szCs w:val="24"/>
          <w:lang w:eastAsia="ru-RU"/>
        </w:rPr>
        <w:t xml:space="preserve">до </w:t>
      </w:r>
      <w:r>
        <w:rPr>
          <w:rFonts w:ascii="Times New Roman" w:eastAsia="Times New Roman" w:hAnsi="Times New Roman" w:cs="Times New Roman"/>
          <w:sz w:val="28"/>
          <w:szCs w:val="24"/>
          <w:lang w:eastAsia="ru-RU"/>
        </w:rPr>
        <w:t xml:space="preserve">проєкту </w:t>
      </w:r>
      <w:r w:rsidRPr="00FC0512">
        <w:rPr>
          <w:rFonts w:ascii="Times New Roman" w:eastAsia="Times New Roman" w:hAnsi="Times New Roman" w:cs="Times New Roman"/>
          <w:sz w:val="28"/>
          <w:szCs w:val="24"/>
          <w:lang w:eastAsia="ru-RU"/>
        </w:rPr>
        <w:t xml:space="preserve">рішення </w:t>
      </w:r>
      <w:r>
        <w:rPr>
          <w:rFonts w:ascii="Times New Roman" w:eastAsia="Times New Roman" w:hAnsi="Times New Roman" w:cs="Times New Roman"/>
          <w:sz w:val="28"/>
          <w:szCs w:val="24"/>
          <w:lang w:eastAsia="ru-RU"/>
        </w:rPr>
        <w:t xml:space="preserve">Чернігівської міської ради «Про затвердження </w:t>
      </w:r>
      <w:r w:rsidRPr="00FC0512">
        <w:rPr>
          <w:rFonts w:ascii="Times New Roman" w:eastAsia="Times New Roman" w:hAnsi="Times New Roman" w:cs="Times New Roman"/>
          <w:color w:val="000000"/>
          <w:sz w:val="28"/>
          <w:szCs w:val="28"/>
          <w:lang w:eastAsia="ru-RU"/>
        </w:rPr>
        <w:t xml:space="preserve">міської комплексної </w:t>
      </w:r>
      <w:r>
        <w:rPr>
          <w:rFonts w:ascii="Times New Roman" w:eastAsia="Times New Roman" w:hAnsi="Times New Roman" w:cs="Times New Roman"/>
          <w:color w:val="000000"/>
          <w:sz w:val="28"/>
          <w:szCs w:val="28"/>
          <w:lang w:eastAsia="ru-RU"/>
        </w:rPr>
        <w:t xml:space="preserve"> </w:t>
      </w:r>
      <w:bookmarkStart w:id="0" w:name="_GoBack"/>
      <w:bookmarkEnd w:id="0"/>
      <w:r w:rsidRPr="00FC0512">
        <w:rPr>
          <w:rFonts w:ascii="Times New Roman" w:eastAsia="Times New Roman" w:hAnsi="Times New Roman" w:cs="Times New Roman"/>
          <w:color w:val="000000"/>
          <w:sz w:val="28"/>
          <w:szCs w:val="28"/>
          <w:lang w:eastAsia="ru-RU"/>
        </w:rPr>
        <w:t xml:space="preserve">цільової програми «Місто Чернігів – </w:t>
      </w:r>
    </w:p>
    <w:p w:rsidR="00FC0512" w:rsidRPr="00FC0512" w:rsidRDefault="00FC0512" w:rsidP="00FC0512">
      <w:pPr>
        <w:spacing w:before="0"/>
        <w:jc w:val="center"/>
        <w:rPr>
          <w:rFonts w:ascii="Times New Roman" w:eastAsia="Times New Roman" w:hAnsi="Times New Roman" w:cs="Times New Roman"/>
          <w:color w:val="000000"/>
          <w:sz w:val="28"/>
          <w:szCs w:val="28"/>
          <w:lang w:eastAsia="ru-RU"/>
        </w:rPr>
      </w:pPr>
      <w:r w:rsidRPr="00FC0512">
        <w:rPr>
          <w:rFonts w:ascii="Times New Roman" w:eastAsia="Times New Roman" w:hAnsi="Times New Roman" w:cs="Times New Roman"/>
          <w:color w:val="000000"/>
          <w:sz w:val="28"/>
          <w:szCs w:val="28"/>
          <w:lang w:eastAsia="ru-RU"/>
        </w:rPr>
        <w:t>дружнє до сім’ї та дітей» на 20</w:t>
      </w:r>
      <w:r w:rsidRPr="00FC0512">
        <w:rPr>
          <w:rFonts w:ascii="Times New Roman" w:eastAsia="Times New Roman" w:hAnsi="Times New Roman" w:cs="Times New Roman"/>
          <w:color w:val="000000"/>
          <w:sz w:val="28"/>
          <w:szCs w:val="28"/>
          <w:lang w:val="ru-RU" w:eastAsia="ru-RU"/>
        </w:rPr>
        <w:t>24</w:t>
      </w:r>
      <w:r w:rsidRPr="00FC0512">
        <w:rPr>
          <w:rFonts w:ascii="Times New Roman" w:eastAsia="Times New Roman" w:hAnsi="Times New Roman" w:cs="Times New Roman"/>
          <w:color w:val="000000"/>
          <w:sz w:val="28"/>
          <w:szCs w:val="28"/>
          <w:lang w:eastAsia="ru-RU"/>
        </w:rPr>
        <w:t>-202</w:t>
      </w:r>
      <w:r w:rsidRPr="00FC0512">
        <w:rPr>
          <w:rFonts w:ascii="Times New Roman" w:eastAsia="Times New Roman" w:hAnsi="Times New Roman" w:cs="Times New Roman"/>
          <w:color w:val="000000"/>
          <w:sz w:val="28"/>
          <w:szCs w:val="28"/>
          <w:lang w:val="ru-RU" w:eastAsia="ru-RU"/>
        </w:rPr>
        <w:t>8</w:t>
      </w:r>
      <w:r w:rsidRPr="00FC0512">
        <w:rPr>
          <w:rFonts w:ascii="Times New Roman" w:eastAsia="Times New Roman" w:hAnsi="Times New Roman" w:cs="Times New Roman"/>
          <w:color w:val="000000"/>
          <w:sz w:val="28"/>
          <w:szCs w:val="28"/>
          <w:lang w:eastAsia="ru-RU"/>
        </w:rPr>
        <w:t xml:space="preserve"> роки</w:t>
      </w:r>
    </w:p>
    <w:p w:rsidR="00FC0512" w:rsidRPr="00FC0512" w:rsidRDefault="00FC0512" w:rsidP="00FC0512">
      <w:pPr>
        <w:spacing w:before="0"/>
        <w:ind w:firstLine="72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Міська комплексна цільова програма «Місто Чернігів – дружнє до сім’ї та дітей» на 2024-2028 роки (далі – Програма), спрямована на захист сім’ї, дітей та молоді у місті, підтримку рівних прав та можливостей чоловіків та жінок, є дієвим інструментом, завдяки якому забезпечується належний рівень фізичного і психічного здоров'я людей,  попереджається злочинність,        формується позитивна соціальна поведінка, забезпечується міжкультурне   розуміння в громадах, зростає потенціал третього сектора й зрештою          розвиваються  конкурентоспроможні, стійкі та згуртовані територіальні    громади.</w:t>
      </w:r>
    </w:p>
    <w:p w:rsidR="00FC0512" w:rsidRPr="00FC0512" w:rsidRDefault="00FC0512" w:rsidP="00FC0512">
      <w:pPr>
        <w:spacing w:before="0"/>
        <w:ind w:firstLine="72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Комплексний характер та взаємопов'язаність завдань розвитку            зазначених сфер обумовили необхідність включення до Програми трьох     підпрограм:</w:t>
      </w:r>
    </w:p>
    <w:p w:rsidR="00FC0512" w:rsidRPr="00FC0512" w:rsidRDefault="00FC0512" w:rsidP="00FC0512">
      <w:pPr>
        <w:tabs>
          <w:tab w:val="left" w:pos="851"/>
        </w:tabs>
        <w:spacing w:before="0"/>
        <w:ind w:firstLine="72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w:t>
      </w:r>
      <w:r w:rsidRPr="00FC0512">
        <w:rPr>
          <w:rFonts w:ascii="Times New Roman" w:eastAsia="Times New Roman" w:hAnsi="Times New Roman" w:cs="Times New Roman"/>
          <w:sz w:val="28"/>
          <w:szCs w:val="28"/>
          <w:lang w:eastAsia="ru-RU"/>
        </w:rPr>
        <w:tab/>
        <w:t>Підпрограма 1: Міська цільова програма підтримки сім’ї та               забезпечення ґендерної рівності на 2024 - 2028 р. (далі - Програма підтримки сім’ї та рівних прав);</w:t>
      </w:r>
    </w:p>
    <w:p w:rsidR="00FC0512" w:rsidRPr="00FC0512" w:rsidRDefault="00FC0512" w:rsidP="00FC0512">
      <w:pPr>
        <w:tabs>
          <w:tab w:val="left" w:pos="851"/>
        </w:tabs>
        <w:spacing w:before="0"/>
        <w:ind w:firstLine="72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 Підпрограма 2: Міська цільова програма соціальної підтримки та    захисту дітей незахищених категорій на 20</w:t>
      </w:r>
      <w:r w:rsidRPr="00FC0512">
        <w:rPr>
          <w:rFonts w:ascii="Times New Roman" w:eastAsia="Times New Roman" w:hAnsi="Times New Roman" w:cs="Times New Roman"/>
          <w:sz w:val="28"/>
          <w:szCs w:val="28"/>
          <w:lang w:val="ru-RU" w:eastAsia="ru-RU"/>
        </w:rPr>
        <w:t>24</w:t>
      </w:r>
      <w:r w:rsidRPr="00FC0512">
        <w:rPr>
          <w:rFonts w:ascii="Times New Roman" w:eastAsia="Times New Roman" w:hAnsi="Times New Roman" w:cs="Times New Roman"/>
          <w:sz w:val="28"/>
          <w:szCs w:val="28"/>
          <w:lang w:eastAsia="ru-RU"/>
        </w:rPr>
        <w:t xml:space="preserve"> - 202</w:t>
      </w:r>
      <w:r w:rsidRPr="00FC0512">
        <w:rPr>
          <w:rFonts w:ascii="Times New Roman" w:eastAsia="Times New Roman" w:hAnsi="Times New Roman" w:cs="Times New Roman"/>
          <w:sz w:val="28"/>
          <w:szCs w:val="28"/>
          <w:lang w:val="ru-RU" w:eastAsia="ru-RU"/>
        </w:rPr>
        <w:t>8</w:t>
      </w:r>
      <w:r w:rsidRPr="00FC0512">
        <w:rPr>
          <w:rFonts w:ascii="Times New Roman" w:eastAsia="Times New Roman" w:hAnsi="Times New Roman" w:cs="Times New Roman"/>
          <w:sz w:val="28"/>
          <w:szCs w:val="28"/>
          <w:lang w:eastAsia="ru-RU"/>
        </w:rPr>
        <w:t xml:space="preserve"> р. (далі – Програма          підтримки дітей);</w:t>
      </w:r>
    </w:p>
    <w:p w:rsidR="00FC0512" w:rsidRPr="00FC0512" w:rsidRDefault="00FC0512" w:rsidP="00FC0512">
      <w:pPr>
        <w:tabs>
          <w:tab w:val="left" w:pos="851"/>
        </w:tabs>
        <w:spacing w:before="0"/>
        <w:ind w:firstLine="72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w:t>
      </w:r>
      <w:r w:rsidRPr="00FC0512">
        <w:rPr>
          <w:rFonts w:ascii="Times New Roman" w:eastAsia="Times New Roman" w:hAnsi="Times New Roman" w:cs="Times New Roman"/>
          <w:sz w:val="28"/>
          <w:szCs w:val="28"/>
          <w:lang w:eastAsia="ru-RU"/>
        </w:rPr>
        <w:tab/>
        <w:t xml:space="preserve"> Підпрограма 3:  Міська цільова програма розвитку та поліпшення   матеріально-технічної бази комунального закладу «Позашкільний               навчальний заклад «Центр роботи з дітьми та молоддю за місцем              проживання» Чернігівської міської ради на 2024-2028 роки (далі - Програма розвитку Центру).</w:t>
      </w:r>
    </w:p>
    <w:p w:rsidR="00FC0512" w:rsidRPr="00FC0512" w:rsidRDefault="00FC0512" w:rsidP="00FC0512">
      <w:pPr>
        <w:spacing w:before="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ab/>
        <w:t>Програма розроблена з урахуванням специфічних особливостей міста Чернігова, діючих міських програм, зокрема: програми економічного та     соціального розвитку міста Чернігова, програми «Молодь міста Чернігова», програми молодіжного житлового кредитування, програми реалізації       громадського бюджету (бюджету участі) у місті Чернігові, інших програм, реалізація яких спрямована на молодь, дітей м. Чернігова та їх сім’ї. Вона  також передбачає подальше конкретне наповнення змісту й логіки реалізації державної політики стосовно захисту сім’ї, дітей та молоді у місті. У        Програму ввійшли тільки основні напрямки та заходи, що відносяться до сфери стосовно захисту сім’ї, дітей та молоді у місті, і не включені заходи, що внесені до спеціальних програм відповідного профілю (освіти, зайнятості, охорони здоров`я тощо).</w:t>
      </w:r>
    </w:p>
    <w:p w:rsidR="00FC0512" w:rsidRPr="00FC0512" w:rsidRDefault="00FC0512" w:rsidP="00FC0512">
      <w:pPr>
        <w:spacing w:before="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 xml:space="preserve">          У результаті виконання програми очікується:</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підвищення рівня престижу сім'ї, популяризації сімейних цінностей та родинних традицій у суспільстві, формування позитивного ставлення до    багатодітності (інформаційними заходами щороку охоплено не менше 15   відсотків населення);</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 xml:space="preserve">забезпечення прав багатодітних сімей та дітей з багатодітних сімей на користування пільгами, наданими діючим законодавством (стовідсоткове   </w:t>
      </w:r>
      <w:r w:rsidRPr="00FC0512">
        <w:rPr>
          <w:rFonts w:ascii="Times New Roman" w:eastAsia="Times New Roman" w:hAnsi="Times New Roman" w:cs="Times New Roman"/>
          <w:sz w:val="28"/>
          <w:szCs w:val="28"/>
          <w:lang w:eastAsia="ru-RU"/>
        </w:rPr>
        <w:lastRenderedPageBreak/>
        <w:t>забезпечення багатодітних сімей посвідченнями батьків та дитини з            багатодітної сім’ї);</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підвищення рівня обізнаності населення області у сфері запобігання та протидії домашньому насильству, забезпечення руйнації негативних         стереотипів та формування нетерпимого ставлення до насильницької моделі сімейних відносин, що призведе до зменшення фактів насильства, вчинене членами однієї сім’ї, жорстокого поводження з дітьми;</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забезпечення ефективної взаємодії усіх суб’єктів, які здійснюють       заходи у сфері запобігання та протидії домашньому насильству;</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створення ефективної системи співпраці органів влади, міжнародних і громадських організацій, діяльність яких спрямована на забезпечення рівних прав та можливостей жінок і чоловіків у суспільстві;</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утвердження в суспільстві сімейних цінностей, сприяння вихованню відповідального батьківства, запобігання сімейному неблагополуччю,         насильству в сім’ї та соціальному сирітству, забезпечення безпечного     оздоровлення та змістовного відпочинку дітей (інформаційними заходами з питань утвердження в суспільстві сімейних цінностей, виховання                 відповідального батьківства, запобігання сімейному неблагополуччю та     соціальному сирітству охоплено не менше 30 % населення, жодна дитина не вилучена з сім’ї без надання комплексу наявних соціальних послуг у громаді, забезпечення доступності до необхідних соціальних послуг дітей та сімей з дітьми,  в тому числі осіб з особливими потребами, незалежно від їх статусу та потреб), збільшення кількості дітей, та сімей охоплених регіональними  заходами державної політики з питань дітей, порівняно з минулим роком -  на 5 %, підвищення кількості та якості оздоровлення дітей);</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забезпечення комплексної підтримки сімей та дітей, які потребують особливої соціальної уваги та підтримки (сім’ї, які перебувають у складних життєвих обставинах, перебувають під соціальним супроводом);</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забезпечення конституційних прав та законних інтересів дітей-сиріт та дітей, позбавлених батьківського піклування та дітей, які залишились без піклування батьків (збережено право на житло 100% дітей-сиріт, дітей,       позбавлених батьківського піклування; зменшено кількість дітей, які          вилучені з сім’ї в результаті загрозливих умов життю або здоров’ю дитини, забезпечено потреби всіх дітей сиріт та дітей, позбавлених батьківського  піклування органами місцевого самоврядування за принципом «гроші ходять за дитиною»);</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збереження, зміцнення та оновлення Центру у відповідності до вимог сучасності, розширення мережі гуртків, створення умов для розвитку          технічної творчості;</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поліпшення естетичного вигляду територій клубів за місцем            проживання, збереження та модернізація існуючої інфраструктури клубів за місцем проживання;</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 xml:space="preserve">збільшення чисельності вихованців, постійно зайнятих у позаурочний час гуртковою роботою у клубах за місцем проживання до 5 % від загальної кількості дітей шкільного віку та задоволення потреб учнів у професійному </w:t>
      </w:r>
      <w:r w:rsidRPr="00FC0512">
        <w:rPr>
          <w:rFonts w:ascii="Times New Roman" w:eastAsia="Times New Roman" w:hAnsi="Times New Roman" w:cs="Times New Roman"/>
          <w:sz w:val="28"/>
          <w:szCs w:val="28"/>
          <w:lang w:eastAsia="ru-RU"/>
        </w:rPr>
        <w:lastRenderedPageBreak/>
        <w:t xml:space="preserve">самовизначенні і творчій самореалізації, забезпечення соціального захисту учасників навчально-виховного процесу </w:t>
      </w:r>
    </w:p>
    <w:p w:rsidR="00FC0512" w:rsidRPr="00FC0512" w:rsidRDefault="00FC0512" w:rsidP="00FC0512">
      <w:pPr>
        <w:spacing w:before="0"/>
        <w:ind w:firstLine="709"/>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поліпшення забезпечення позашкільного навчального закладу            науково-методичними матеріалами та забезпечення сталого функціонування всіх інженерних систем, систем забезпечення життєдіяльності,                   протипожежного захисту та оповіщення, оновлення та модернізація            обладнання, меблів, інвентарю, систем комунікацій та мереж КЗ «ПНЗ «Центр роботи з дітьми та молоддю за місцем проживання» Чернігівської  міської ради.</w:t>
      </w:r>
    </w:p>
    <w:p w:rsidR="00FC0512" w:rsidRPr="00FC0512" w:rsidRDefault="00FC0512" w:rsidP="00FC0512">
      <w:pPr>
        <w:spacing w:before="0"/>
        <w:ind w:firstLine="709"/>
        <w:outlineLvl w:val="0"/>
        <w:rPr>
          <w:rFonts w:ascii="Times New Roman" w:eastAsia="Calibri" w:hAnsi="Times New Roman" w:cs="Times New Roman"/>
          <w:sz w:val="28"/>
          <w:szCs w:val="28"/>
          <w:lang w:eastAsia="ru-RU"/>
        </w:rPr>
      </w:pPr>
      <w:bookmarkStart w:id="1" w:name="49"/>
      <w:bookmarkEnd w:id="1"/>
      <w:r w:rsidRPr="00FC0512">
        <w:rPr>
          <w:rFonts w:ascii="Times New Roman" w:eastAsia="Calibri" w:hAnsi="Times New Roman" w:cs="Times New Roman"/>
          <w:sz w:val="28"/>
          <w:szCs w:val="28"/>
          <w:lang w:eastAsia="ru-RU"/>
        </w:rPr>
        <w:t>Програма розрахована на 2024-2028 роки. Загальний обсяг фінансових       ресурсів, необхідних для реалізації програми складає 80059,4 тис. грн.</w:t>
      </w:r>
    </w:p>
    <w:p w:rsidR="00FC0512" w:rsidRPr="00FC0512" w:rsidRDefault="00FC0512" w:rsidP="00FC0512">
      <w:pPr>
        <w:spacing w:before="0"/>
        <w:outlineLvl w:val="0"/>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58"/>
        <w:gridCol w:w="1134"/>
        <w:gridCol w:w="1134"/>
      </w:tblGrid>
      <w:tr w:rsidR="00FC0512" w:rsidRPr="00FC0512" w:rsidTr="000615B0">
        <w:tc>
          <w:tcPr>
            <w:tcW w:w="2376" w:type="dxa"/>
            <w:vMerge w:val="restart"/>
            <w:shd w:val="clear" w:color="auto" w:fill="auto"/>
          </w:tcPr>
          <w:p w:rsidR="00FC0512" w:rsidRPr="00FC0512" w:rsidRDefault="00FC0512" w:rsidP="00FC0512">
            <w:pPr>
              <w:spacing w:before="0" w:after="200" w:line="276" w:lineRule="auto"/>
              <w:jc w:val="left"/>
              <w:rPr>
                <w:rFonts w:ascii="Times New Roman" w:eastAsia="Calibri" w:hAnsi="Times New Roman" w:cs="Times New Roman"/>
                <w:sz w:val="28"/>
                <w:szCs w:val="28"/>
              </w:rPr>
            </w:pPr>
            <w:r w:rsidRPr="00FC0512">
              <w:rPr>
                <w:rFonts w:ascii="Times New Roman" w:eastAsia="Calibri" w:hAnsi="Times New Roman" w:cs="Times New Roman"/>
                <w:sz w:val="28"/>
                <w:szCs w:val="28"/>
              </w:rPr>
              <w:t>Загальний обсяг фінансових      ресурсів,          необхідних для реалізації       програми, тис. грн.</w:t>
            </w:r>
          </w:p>
        </w:tc>
        <w:tc>
          <w:tcPr>
            <w:tcW w:w="1276"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Всього</w:t>
            </w:r>
          </w:p>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тис. грн.</w:t>
            </w:r>
          </w:p>
        </w:tc>
        <w:tc>
          <w:tcPr>
            <w:tcW w:w="1134"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 xml:space="preserve">2024 </w:t>
            </w:r>
          </w:p>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рік</w:t>
            </w:r>
          </w:p>
        </w:tc>
        <w:tc>
          <w:tcPr>
            <w:tcW w:w="1276"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 xml:space="preserve">2025 </w:t>
            </w:r>
          </w:p>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рік</w:t>
            </w:r>
          </w:p>
        </w:tc>
        <w:tc>
          <w:tcPr>
            <w:tcW w:w="1158"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2026 рік</w:t>
            </w:r>
          </w:p>
        </w:tc>
        <w:tc>
          <w:tcPr>
            <w:tcW w:w="1134"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2027 рік</w:t>
            </w:r>
          </w:p>
        </w:tc>
        <w:tc>
          <w:tcPr>
            <w:tcW w:w="1134" w:type="dxa"/>
            <w:shd w:val="clear" w:color="auto" w:fill="auto"/>
          </w:tcPr>
          <w:p w:rsidR="00FC0512" w:rsidRPr="00FC0512" w:rsidRDefault="00FC0512" w:rsidP="00FC0512">
            <w:pPr>
              <w:spacing w:before="0" w:after="200" w:line="276" w:lineRule="auto"/>
              <w:jc w:val="center"/>
              <w:rPr>
                <w:rFonts w:ascii="Times New Roman" w:eastAsia="Calibri" w:hAnsi="Times New Roman" w:cs="Times New Roman"/>
                <w:sz w:val="28"/>
                <w:szCs w:val="28"/>
              </w:rPr>
            </w:pPr>
            <w:r w:rsidRPr="00FC0512">
              <w:rPr>
                <w:rFonts w:ascii="Times New Roman" w:eastAsia="Calibri" w:hAnsi="Times New Roman" w:cs="Times New Roman"/>
                <w:sz w:val="28"/>
                <w:szCs w:val="28"/>
              </w:rPr>
              <w:t>2028 рік</w:t>
            </w:r>
          </w:p>
        </w:tc>
      </w:tr>
      <w:tr w:rsidR="00FC0512" w:rsidRPr="00FC0512" w:rsidTr="000615B0">
        <w:trPr>
          <w:trHeight w:val="569"/>
        </w:trPr>
        <w:tc>
          <w:tcPr>
            <w:tcW w:w="2376" w:type="dxa"/>
            <w:vMerge/>
            <w:shd w:val="clear" w:color="auto" w:fill="auto"/>
          </w:tcPr>
          <w:p w:rsidR="00FC0512" w:rsidRPr="00FC0512" w:rsidRDefault="00FC0512" w:rsidP="00FC0512">
            <w:pPr>
              <w:spacing w:before="0" w:after="200" w:line="276" w:lineRule="auto"/>
              <w:jc w:val="left"/>
              <w:rPr>
                <w:rFonts w:ascii="Times New Roman" w:eastAsia="Calibri" w:hAnsi="Times New Roman" w:cs="Times New Roman"/>
                <w:sz w:val="28"/>
                <w:szCs w:val="28"/>
              </w:rPr>
            </w:pPr>
          </w:p>
        </w:tc>
        <w:tc>
          <w:tcPr>
            <w:tcW w:w="1276"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80059,4</w:t>
            </w:r>
          </w:p>
        </w:tc>
        <w:tc>
          <w:tcPr>
            <w:tcW w:w="1134"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11480,2</w:t>
            </w:r>
          </w:p>
        </w:tc>
        <w:tc>
          <w:tcPr>
            <w:tcW w:w="1276"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13553,6</w:t>
            </w:r>
          </w:p>
        </w:tc>
        <w:tc>
          <w:tcPr>
            <w:tcW w:w="1158"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16004,1</w:t>
            </w:r>
          </w:p>
        </w:tc>
        <w:tc>
          <w:tcPr>
            <w:tcW w:w="1134"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18242,0</w:t>
            </w:r>
          </w:p>
        </w:tc>
        <w:tc>
          <w:tcPr>
            <w:tcW w:w="1134" w:type="dxa"/>
            <w:shd w:val="clear" w:color="auto" w:fill="auto"/>
          </w:tcPr>
          <w:p w:rsidR="00FC0512" w:rsidRPr="00FC0512" w:rsidRDefault="00FC0512" w:rsidP="00FC0512">
            <w:pPr>
              <w:spacing w:before="0" w:after="200" w:line="276" w:lineRule="auto"/>
              <w:jc w:val="left"/>
              <w:rPr>
                <w:rFonts w:ascii="Times New Roman" w:eastAsia="Calibri" w:hAnsi="Times New Roman" w:cs="Times New Roman"/>
                <w:b/>
                <w:sz w:val="28"/>
                <w:szCs w:val="28"/>
              </w:rPr>
            </w:pPr>
            <w:r w:rsidRPr="00FC0512">
              <w:rPr>
                <w:rFonts w:ascii="Times New Roman" w:eastAsia="Calibri" w:hAnsi="Times New Roman" w:cs="Times New Roman"/>
                <w:b/>
                <w:sz w:val="28"/>
                <w:szCs w:val="28"/>
              </w:rPr>
              <w:t>20779,5</w:t>
            </w:r>
          </w:p>
        </w:tc>
      </w:tr>
    </w:tbl>
    <w:p w:rsidR="00FC0512" w:rsidRPr="00FC0512" w:rsidRDefault="00FC0512" w:rsidP="00FC0512">
      <w:pPr>
        <w:spacing w:before="0"/>
        <w:outlineLvl w:val="0"/>
        <w:rPr>
          <w:rFonts w:ascii="Times New Roman" w:eastAsia="Calibri" w:hAnsi="Times New Roman" w:cs="Times New Roman"/>
          <w:color w:val="FF0000"/>
          <w:sz w:val="28"/>
          <w:szCs w:val="28"/>
          <w:lang w:eastAsia="ru-RU"/>
        </w:rPr>
      </w:pPr>
    </w:p>
    <w:p w:rsidR="00FC0512" w:rsidRPr="00FC0512" w:rsidRDefault="00FC0512" w:rsidP="00FC0512">
      <w:pPr>
        <w:spacing w:before="0"/>
        <w:outlineLvl w:val="0"/>
        <w:rPr>
          <w:rFonts w:ascii="Times New Roman" w:eastAsia="Calibri" w:hAnsi="Times New Roman" w:cs="Times New Roman"/>
          <w:color w:val="FF0000"/>
          <w:sz w:val="28"/>
          <w:szCs w:val="28"/>
          <w:lang w:eastAsia="ru-RU"/>
        </w:rPr>
      </w:pPr>
    </w:p>
    <w:p w:rsidR="00FC0512" w:rsidRPr="00FC0512" w:rsidRDefault="00FC0512" w:rsidP="00FC0512">
      <w:pPr>
        <w:spacing w:before="0"/>
        <w:outlineLvl w:val="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 xml:space="preserve">Заступник начальника управління у справах </w:t>
      </w:r>
    </w:p>
    <w:p w:rsidR="00FC0512" w:rsidRPr="00FC0512" w:rsidRDefault="00FC0512" w:rsidP="00FC0512">
      <w:pPr>
        <w:spacing w:before="0"/>
        <w:outlineLvl w:val="0"/>
        <w:rPr>
          <w:rFonts w:ascii="Times New Roman" w:eastAsia="Times New Roman" w:hAnsi="Times New Roman" w:cs="Times New Roman"/>
          <w:sz w:val="28"/>
          <w:szCs w:val="28"/>
          <w:lang w:eastAsia="ru-RU"/>
        </w:rPr>
      </w:pPr>
      <w:r w:rsidRPr="00FC0512">
        <w:rPr>
          <w:rFonts w:ascii="Times New Roman" w:eastAsia="Times New Roman" w:hAnsi="Times New Roman" w:cs="Times New Roman"/>
          <w:sz w:val="28"/>
          <w:szCs w:val="28"/>
          <w:lang w:eastAsia="ru-RU"/>
        </w:rPr>
        <w:t>сім’ї, молоді та спорту міської ради</w:t>
      </w:r>
      <w:r w:rsidRPr="00FC0512">
        <w:rPr>
          <w:rFonts w:ascii="Times New Roman" w:eastAsia="Times New Roman" w:hAnsi="Times New Roman" w:cs="Times New Roman"/>
          <w:sz w:val="28"/>
          <w:szCs w:val="28"/>
          <w:lang w:eastAsia="ru-RU"/>
        </w:rPr>
        <w:tab/>
      </w:r>
      <w:r w:rsidRPr="00FC0512">
        <w:rPr>
          <w:rFonts w:ascii="Times New Roman" w:eastAsia="Times New Roman" w:hAnsi="Times New Roman" w:cs="Times New Roman"/>
          <w:sz w:val="28"/>
          <w:szCs w:val="28"/>
          <w:lang w:eastAsia="ru-RU"/>
        </w:rPr>
        <w:tab/>
        <w:t xml:space="preserve">               Валерій СЕМЕНЕЦЬ</w:t>
      </w:r>
      <w:r w:rsidRPr="00FC0512">
        <w:rPr>
          <w:rFonts w:ascii="Times New Roman" w:eastAsia="Times New Roman" w:hAnsi="Times New Roman" w:cs="Times New Roman"/>
          <w:sz w:val="28"/>
          <w:szCs w:val="28"/>
          <w:lang w:eastAsia="ru-RU"/>
        </w:rPr>
        <w:tab/>
        <w:t xml:space="preserve">                                                    </w:t>
      </w:r>
    </w:p>
    <w:p w:rsidR="00E3505B" w:rsidRDefault="00E3505B"/>
    <w:sectPr w:rsidR="00E3505B" w:rsidSect="00BF725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37"/>
    <w:rsid w:val="00345337"/>
    <w:rsid w:val="00DC2637"/>
    <w:rsid w:val="00E3505B"/>
    <w:rsid w:val="00FC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5888</Characters>
  <Application>Microsoft Office Word</Application>
  <DocSecurity>0</DocSecurity>
  <Lines>49</Lines>
  <Paragraphs>13</Paragraphs>
  <ScaleCrop>false</ScaleCrop>
  <Company>SPecialiST RePack</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OSSMS</dc:creator>
  <cp:keywords/>
  <dc:description/>
  <cp:lastModifiedBy>OSSMS</cp:lastModifiedBy>
  <cp:revision>2</cp:revision>
  <dcterms:created xsi:type="dcterms:W3CDTF">2023-07-06T10:14:00Z</dcterms:created>
  <dcterms:modified xsi:type="dcterms:W3CDTF">2023-07-06T10:17:00Z</dcterms:modified>
</cp:coreProperties>
</file>