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0B" w:rsidRPr="00D5689F" w:rsidRDefault="00FB0D0B" w:rsidP="00FB0D0B">
      <w:pPr>
        <w:spacing w:line="276" w:lineRule="auto"/>
        <w:ind w:right="68"/>
        <w:jc w:val="center"/>
        <w:rPr>
          <w:sz w:val="28"/>
          <w:szCs w:val="28"/>
          <w:lang w:val="uk-UA"/>
        </w:rPr>
      </w:pPr>
      <w:bookmarkStart w:id="0" w:name="_GoBack"/>
      <w:r w:rsidRPr="00D5689F">
        <w:rPr>
          <w:sz w:val="28"/>
          <w:szCs w:val="28"/>
          <w:lang w:val="uk-UA"/>
        </w:rPr>
        <w:t>Звернення Чернігівської міської ради</w:t>
      </w:r>
    </w:p>
    <w:p w:rsidR="00FB0D0B" w:rsidRPr="00D5689F" w:rsidRDefault="005954B8" w:rsidP="00FB0D0B">
      <w:pPr>
        <w:spacing w:line="276" w:lineRule="auto"/>
        <w:jc w:val="center"/>
        <w:rPr>
          <w:rStyle w:val="rvts0"/>
          <w:sz w:val="28"/>
          <w:szCs w:val="28"/>
          <w:lang w:val="uk-UA"/>
        </w:rPr>
      </w:pPr>
      <w:r w:rsidRPr="00D5689F">
        <w:rPr>
          <w:sz w:val="28"/>
          <w:szCs w:val="28"/>
          <w:lang w:val="uk-UA"/>
        </w:rPr>
        <w:t xml:space="preserve">до </w:t>
      </w:r>
      <w:r w:rsidR="002C2980">
        <w:rPr>
          <w:sz w:val="28"/>
          <w:szCs w:val="28"/>
          <w:lang w:val="uk-UA"/>
        </w:rPr>
        <w:t>Кабінету Міністрів</w:t>
      </w:r>
      <w:r w:rsidRPr="00D5689F">
        <w:rPr>
          <w:sz w:val="28"/>
          <w:szCs w:val="28"/>
          <w:lang w:val="uk-UA"/>
        </w:rPr>
        <w:t xml:space="preserve"> </w:t>
      </w:r>
      <w:r w:rsidRPr="0031601A">
        <w:rPr>
          <w:sz w:val="28"/>
          <w:szCs w:val="28"/>
          <w:lang w:val="uk-UA"/>
        </w:rPr>
        <w:t xml:space="preserve">України </w:t>
      </w:r>
      <w:r w:rsidR="00FB0D0B" w:rsidRPr="0031601A">
        <w:rPr>
          <w:sz w:val="28"/>
          <w:szCs w:val="28"/>
          <w:lang w:val="uk-UA"/>
        </w:rPr>
        <w:t xml:space="preserve">щодо </w:t>
      </w:r>
      <w:r w:rsidR="002C2980">
        <w:rPr>
          <w:sz w:val="28"/>
          <w:szCs w:val="28"/>
          <w:lang w:val="uk-UA"/>
        </w:rPr>
        <w:t>необхідності термінового</w:t>
      </w:r>
      <w:r w:rsidR="00835500" w:rsidRPr="0031601A">
        <w:rPr>
          <w:sz w:val="28"/>
          <w:szCs w:val="28"/>
          <w:lang w:val="uk-UA"/>
        </w:rPr>
        <w:t xml:space="preserve"> вирішення проблемних питань</w:t>
      </w:r>
      <w:r w:rsidR="00A24116" w:rsidRPr="0031601A">
        <w:rPr>
          <w:sz w:val="28"/>
          <w:szCs w:val="28"/>
          <w:lang w:val="uk-UA"/>
        </w:rPr>
        <w:t xml:space="preserve"> </w:t>
      </w:r>
      <w:r w:rsidR="003C1840">
        <w:rPr>
          <w:sz w:val="28"/>
          <w:szCs w:val="28"/>
          <w:lang w:val="uk-UA"/>
        </w:rPr>
        <w:t xml:space="preserve">в </w:t>
      </w:r>
      <w:r w:rsidR="002C2980">
        <w:rPr>
          <w:sz w:val="28"/>
          <w:szCs w:val="28"/>
          <w:lang w:val="uk-UA"/>
        </w:rPr>
        <w:t xml:space="preserve">галузі </w:t>
      </w:r>
      <w:r w:rsidR="00A24116" w:rsidRPr="0031601A">
        <w:rPr>
          <w:sz w:val="28"/>
          <w:szCs w:val="28"/>
          <w:lang w:val="uk-UA"/>
        </w:rPr>
        <w:t>теплогенерації</w:t>
      </w:r>
      <w:r w:rsidR="00835500">
        <w:rPr>
          <w:sz w:val="28"/>
          <w:szCs w:val="28"/>
          <w:lang w:val="uk-UA"/>
        </w:rPr>
        <w:t xml:space="preserve"> </w:t>
      </w:r>
    </w:p>
    <w:bookmarkEnd w:id="0"/>
    <w:p w:rsidR="00FB0D0B" w:rsidRPr="00D5689F" w:rsidRDefault="00FB0D0B" w:rsidP="00FB0D0B">
      <w:pPr>
        <w:spacing w:line="276" w:lineRule="auto"/>
        <w:ind w:left="720" w:right="68" w:hanging="720"/>
        <w:jc w:val="center"/>
        <w:rPr>
          <w:sz w:val="28"/>
          <w:szCs w:val="28"/>
          <w:lang w:val="uk-UA"/>
        </w:rPr>
      </w:pPr>
    </w:p>
    <w:p w:rsidR="002C2980" w:rsidRDefault="002C2980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травня поточного року, вперше за останнє десятиліття, в частині житлових будинків м. Чернігова відсутнє централізоване постачання гарячої води. Своєчасний початок і нормальне проходження опалювального сезону 2019-2020 років також під загрозою зриву.</w:t>
      </w:r>
    </w:p>
    <w:p w:rsidR="002C2980" w:rsidRPr="006F53FB" w:rsidRDefault="002C2980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4"/>
          <w:szCs w:val="4"/>
          <w:lang w:val="uk-UA"/>
        </w:rPr>
      </w:pPr>
    </w:p>
    <w:p w:rsidR="002C2980" w:rsidRDefault="002C2980" w:rsidP="002C2980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  <w:r>
        <w:rPr>
          <w:sz w:val="28"/>
          <w:szCs w:val="28"/>
          <w:lang w:val="uk-UA"/>
        </w:rPr>
        <w:t xml:space="preserve">Основна причина часткового невиконання теплопостачальними підприємствами </w:t>
      </w:r>
      <w:r w:rsidRPr="00D44FF9">
        <w:rPr>
          <w:sz w:val="28"/>
          <w:szCs w:val="28"/>
          <w:lang w:val="uk-UA"/>
        </w:rPr>
        <w:t>функцій з життєзабезпечення міста</w:t>
      </w:r>
      <w:r>
        <w:rPr>
          <w:sz w:val="28"/>
          <w:szCs w:val="28"/>
          <w:lang w:val="uk-UA"/>
        </w:rPr>
        <w:t xml:space="preserve"> – брак обігових коштів.</w:t>
      </w:r>
    </w:p>
    <w:p w:rsidR="002C2980" w:rsidRPr="00D44FF9" w:rsidRDefault="002C2980" w:rsidP="002C2980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  <w:r>
        <w:rPr>
          <w:sz w:val="28"/>
          <w:szCs w:val="28"/>
          <w:lang w:val="uk-UA" w:eastAsia="zh-TW"/>
        </w:rPr>
        <w:t>Так, з</w:t>
      </w:r>
      <w:r w:rsidRPr="00D44FF9">
        <w:rPr>
          <w:sz w:val="28"/>
          <w:szCs w:val="28"/>
          <w:lang w:val="uk-UA" w:eastAsia="zh-TW"/>
        </w:rPr>
        <w:t xml:space="preserve">більшення фінансового навантаження на населення через зростання </w:t>
      </w:r>
      <w:r>
        <w:rPr>
          <w:sz w:val="28"/>
          <w:szCs w:val="28"/>
          <w:lang w:val="uk-UA" w:eastAsia="zh-TW"/>
        </w:rPr>
        <w:t xml:space="preserve">з 01.11.2018 вартості газу та з 01.01.2019 комунальних </w:t>
      </w:r>
      <w:r w:rsidRPr="00D44FF9">
        <w:rPr>
          <w:sz w:val="28"/>
          <w:szCs w:val="28"/>
          <w:lang w:val="uk-UA" w:eastAsia="zh-TW"/>
        </w:rPr>
        <w:t>тарифів</w:t>
      </w:r>
      <w:r>
        <w:rPr>
          <w:sz w:val="28"/>
          <w:szCs w:val="28"/>
          <w:lang w:val="uk-UA" w:eastAsia="zh-TW"/>
        </w:rPr>
        <w:t>,</w:t>
      </w:r>
      <w:r w:rsidRPr="00D44FF9">
        <w:rPr>
          <w:sz w:val="28"/>
          <w:szCs w:val="28"/>
          <w:lang w:val="uk-UA" w:eastAsia="zh-TW"/>
        </w:rPr>
        <w:t xml:space="preserve"> зменшення на 45% - 47%</w:t>
      </w:r>
      <w:r>
        <w:rPr>
          <w:sz w:val="28"/>
          <w:szCs w:val="28"/>
          <w:lang w:val="uk-UA" w:eastAsia="zh-TW"/>
        </w:rPr>
        <w:t xml:space="preserve"> 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кільк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о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ст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домогосподарств, які отримували </w:t>
      </w:r>
      <w:r w:rsidRPr="00D44FF9">
        <w:rPr>
          <w:sz w:val="28"/>
          <w:szCs w:val="28"/>
          <w:lang w:val="uk-UA" w:eastAsia="zh-TW"/>
        </w:rPr>
        <w:t>субсидії на оплату житлово-комунальних послуг у опалювальному сезоні 2018-2019 років у п</w:t>
      </w:r>
      <w:r>
        <w:rPr>
          <w:sz w:val="28"/>
          <w:szCs w:val="28"/>
          <w:lang w:val="uk-UA" w:eastAsia="zh-TW"/>
        </w:rPr>
        <w:t xml:space="preserve">орівнянні з попереднім періодом, </w:t>
      </w:r>
      <w:r w:rsidRPr="00D44FF9">
        <w:rPr>
          <w:sz w:val="28"/>
          <w:szCs w:val="28"/>
          <w:lang w:val="uk-UA" w:eastAsia="zh-TW"/>
        </w:rPr>
        <w:t xml:space="preserve">а також часткове нецільове використання населенням коштів монетизованої субсидії </w:t>
      </w:r>
      <w:r>
        <w:rPr>
          <w:sz w:val="28"/>
          <w:szCs w:val="28"/>
          <w:lang w:val="uk-UA" w:eastAsia="zh-TW"/>
        </w:rPr>
        <w:t xml:space="preserve">призвели до критичного зростання </w:t>
      </w:r>
      <w:r w:rsidRPr="00D44FF9">
        <w:rPr>
          <w:sz w:val="28"/>
          <w:szCs w:val="28"/>
          <w:lang w:val="uk-UA" w:eastAsia="zh-TW"/>
        </w:rPr>
        <w:t>заборгован</w:t>
      </w:r>
      <w:r>
        <w:rPr>
          <w:sz w:val="28"/>
          <w:szCs w:val="28"/>
          <w:lang w:val="uk-UA" w:eastAsia="zh-TW"/>
        </w:rPr>
        <w:t>о</w:t>
      </w:r>
      <w:r w:rsidRPr="00D44FF9">
        <w:rPr>
          <w:sz w:val="28"/>
          <w:szCs w:val="28"/>
          <w:lang w:val="uk-UA" w:eastAsia="zh-TW"/>
        </w:rPr>
        <w:t>ст</w:t>
      </w:r>
      <w:r>
        <w:rPr>
          <w:sz w:val="28"/>
          <w:szCs w:val="28"/>
          <w:lang w:val="uk-UA" w:eastAsia="zh-TW"/>
        </w:rPr>
        <w:t>і</w:t>
      </w:r>
      <w:r w:rsidRPr="00D44FF9">
        <w:rPr>
          <w:sz w:val="28"/>
          <w:szCs w:val="28"/>
          <w:lang w:val="uk-UA" w:eastAsia="zh-TW"/>
        </w:rPr>
        <w:t xml:space="preserve"> споживачі</w:t>
      </w:r>
      <w:r>
        <w:rPr>
          <w:sz w:val="28"/>
          <w:szCs w:val="28"/>
          <w:lang w:val="uk-UA" w:eastAsia="zh-TW"/>
        </w:rPr>
        <w:t>в за житлово-комунальні послуги.</w:t>
      </w:r>
      <w:r w:rsidRPr="003C1682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Наслідок –</w:t>
      </w:r>
      <w:r w:rsidR="008A5D22" w:rsidRPr="008A5D2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A5D22">
        <w:rPr>
          <w:bCs/>
          <w:color w:val="000000"/>
          <w:sz w:val="28"/>
          <w:szCs w:val="28"/>
          <w:shd w:val="clear" w:color="auto" w:fill="FFFFFF"/>
          <w:lang w:val="uk-UA"/>
        </w:rPr>
        <w:t>АТ </w:t>
      </w:r>
      <w:r w:rsidR="008A5D22"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«НАК «Нафтогаз України»</w:t>
      </w:r>
      <w:r w:rsidR="008A5D2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A5D22">
        <w:rPr>
          <w:sz w:val="28"/>
          <w:szCs w:val="28"/>
          <w:lang w:val="uk-UA" w:eastAsia="zh-TW"/>
        </w:rPr>
        <w:t>припинило</w:t>
      </w:r>
      <w:r w:rsidRPr="00D44FF9">
        <w:rPr>
          <w:sz w:val="28"/>
          <w:szCs w:val="28"/>
          <w:lang w:val="uk-UA" w:eastAsia="zh-TW"/>
        </w:rPr>
        <w:t xml:space="preserve"> </w:t>
      </w:r>
      <w:r w:rsidR="008A5D22">
        <w:rPr>
          <w:sz w:val="28"/>
          <w:szCs w:val="28"/>
          <w:lang w:val="uk-UA" w:eastAsia="zh-TW"/>
        </w:rPr>
        <w:t xml:space="preserve">з 01.05.2019 </w:t>
      </w:r>
      <w:r w:rsidR="008A5D22" w:rsidRPr="00D44FF9">
        <w:rPr>
          <w:sz w:val="28"/>
          <w:szCs w:val="28"/>
          <w:lang w:val="uk-UA" w:eastAsia="zh-TW"/>
        </w:rPr>
        <w:t xml:space="preserve">постачання </w:t>
      </w:r>
      <w:r w:rsidR="008A5D22">
        <w:rPr>
          <w:sz w:val="28"/>
          <w:szCs w:val="28"/>
          <w:lang w:val="uk-UA" w:eastAsia="zh-TW"/>
        </w:rPr>
        <w:t xml:space="preserve">природного </w:t>
      </w:r>
      <w:r w:rsidR="008A5D22" w:rsidRPr="00D44FF9">
        <w:rPr>
          <w:sz w:val="28"/>
          <w:szCs w:val="28"/>
          <w:lang w:val="uk-UA" w:eastAsia="zh-TW"/>
        </w:rPr>
        <w:t>газу</w:t>
      </w:r>
      <w:r w:rsidR="008A5D22">
        <w:rPr>
          <w:sz w:val="28"/>
          <w:szCs w:val="28"/>
          <w:lang w:val="uk-UA" w:eastAsia="zh-TW"/>
        </w:rPr>
        <w:t xml:space="preserve"> </w:t>
      </w:r>
      <w:r w:rsidR="008A5D22" w:rsidRPr="00D44FF9">
        <w:rPr>
          <w:sz w:val="28"/>
          <w:szCs w:val="28"/>
          <w:lang w:val="uk-UA" w:eastAsia="zh-TW"/>
        </w:rPr>
        <w:t>АТ «</w:t>
      </w:r>
      <w:r w:rsidR="008A5D22">
        <w:rPr>
          <w:sz w:val="28"/>
          <w:szCs w:val="28"/>
          <w:lang w:val="uk-UA" w:eastAsia="zh-TW"/>
        </w:rPr>
        <w:t>Облтеплокомуненерго</w:t>
      </w:r>
      <w:r w:rsidR="008A5D22" w:rsidRPr="00D44FF9">
        <w:rPr>
          <w:sz w:val="28"/>
          <w:szCs w:val="28"/>
          <w:lang w:val="uk-UA" w:eastAsia="zh-TW"/>
        </w:rPr>
        <w:t xml:space="preserve">» </w:t>
      </w:r>
      <w:r w:rsidR="008A5D22">
        <w:rPr>
          <w:sz w:val="28"/>
          <w:szCs w:val="28"/>
          <w:lang w:val="uk-UA" w:eastAsia="zh-TW"/>
        </w:rPr>
        <w:t xml:space="preserve">(далі – АТ «ОТКЕ»)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 зв’язку з </w:t>
      </w:r>
      <w:r w:rsidRPr="00D44FF9">
        <w:rPr>
          <w:sz w:val="28"/>
          <w:szCs w:val="28"/>
          <w:lang w:val="uk-UA" w:eastAsia="zh-TW"/>
        </w:rPr>
        <w:t>неспроможністю</w:t>
      </w:r>
      <w:r>
        <w:rPr>
          <w:sz w:val="28"/>
          <w:szCs w:val="28"/>
          <w:lang w:val="uk-UA" w:eastAsia="zh-TW"/>
        </w:rPr>
        <w:t xml:space="preserve"> </w:t>
      </w:r>
      <w:r w:rsidR="008A5D22">
        <w:rPr>
          <w:sz w:val="28"/>
          <w:szCs w:val="28"/>
          <w:lang w:val="uk-UA" w:eastAsia="zh-TW"/>
        </w:rPr>
        <w:t>підприємства</w:t>
      </w:r>
      <w:r w:rsidR="005966BB" w:rsidRPr="00D44FF9">
        <w:rPr>
          <w:sz w:val="28"/>
          <w:szCs w:val="28"/>
          <w:lang w:val="uk-UA" w:eastAsia="zh-TW"/>
        </w:rPr>
        <w:t>, що надає послуги з теплопостачання більше ніж половині</w:t>
      </w:r>
      <w:r w:rsidR="005966BB">
        <w:rPr>
          <w:sz w:val="28"/>
          <w:szCs w:val="28"/>
          <w:lang w:val="uk-UA" w:eastAsia="zh-TW"/>
        </w:rPr>
        <w:t xml:space="preserve"> мешканців міста,</w:t>
      </w:r>
      <w:r w:rsidR="005966BB" w:rsidRPr="00D44FF9">
        <w:rPr>
          <w:sz w:val="28"/>
          <w:szCs w:val="28"/>
          <w:lang w:val="uk-UA" w:eastAsia="zh-TW"/>
        </w:rPr>
        <w:t xml:space="preserve"> </w:t>
      </w:r>
      <w:r w:rsidRPr="00D44FF9">
        <w:rPr>
          <w:sz w:val="28"/>
          <w:szCs w:val="28"/>
          <w:lang w:val="uk-UA" w:eastAsia="zh-TW"/>
        </w:rPr>
        <w:t xml:space="preserve">розрахуватися за </w:t>
      </w:r>
      <w:r>
        <w:rPr>
          <w:sz w:val="28"/>
          <w:szCs w:val="28"/>
          <w:lang w:val="uk-UA" w:eastAsia="zh-TW"/>
        </w:rPr>
        <w:t>спожиті енергоносії.</w:t>
      </w:r>
    </w:p>
    <w:p w:rsidR="008A5D22" w:rsidRDefault="006E5DE2" w:rsidP="002C2980">
      <w:pPr>
        <w:pStyle w:val="ae"/>
        <w:spacing w:after="0"/>
        <w:ind w:firstLine="567"/>
        <w:jc w:val="both"/>
        <w:rPr>
          <w:sz w:val="28"/>
          <w:szCs w:val="28"/>
          <w:lang w:val="uk-UA" w:eastAsia="zh-TW"/>
        </w:rPr>
      </w:pPr>
      <w:r>
        <w:rPr>
          <w:sz w:val="28"/>
          <w:szCs w:val="28"/>
          <w:lang w:val="uk-UA" w:eastAsia="zh-TW"/>
        </w:rPr>
        <w:t>Широка інформаційн</w:t>
      </w:r>
      <w:r w:rsidR="00A246D9">
        <w:rPr>
          <w:sz w:val="28"/>
          <w:szCs w:val="28"/>
          <w:lang w:val="uk-UA" w:eastAsia="zh-TW"/>
        </w:rPr>
        <w:t>о-роз'яснювальна</w:t>
      </w:r>
      <w:r>
        <w:rPr>
          <w:sz w:val="28"/>
          <w:szCs w:val="28"/>
          <w:lang w:val="uk-UA" w:eastAsia="zh-TW"/>
        </w:rPr>
        <w:t xml:space="preserve"> та претензійно-позовна кампанія, що проводилась влітку </w:t>
      </w:r>
      <w:r w:rsidR="00A246D9">
        <w:rPr>
          <w:sz w:val="28"/>
          <w:szCs w:val="28"/>
          <w:lang w:val="uk-UA" w:eastAsia="zh-TW"/>
        </w:rPr>
        <w:t>у м.</w:t>
      </w:r>
      <w:r w:rsidR="00B11B7C">
        <w:rPr>
          <w:sz w:val="28"/>
          <w:szCs w:val="28"/>
          <w:lang w:val="uk-UA" w:eastAsia="zh-TW"/>
        </w:rPr>
        <w:t> </w:t>
      </w:r>
      <w:r w:rsidR="00A246D9">
        <w:rPr>
          <w:sz w:val="28"/>
          <w:szCs w:val="28"/>
          <w:lang w:val="uk-UA" w:eastAsia="zh-TW"/>
        </w:rPr>
        <w:t xml:space="preserve">Чернігові </w:t>
      </w:r>
      <w:r>
        <w:rPr>
          <w:sz w:val="28"/>
          <w:szCs w:val="28"/>
          <w:lang w:val="uk-UA" w:eastAsia="zh-TW"/>
        </w:rPr>
        <w:t xml:space="preserve">для поліпшення розрахунків мешканців за спожиті житлово-комунальні послуги, показала позитивні результати, проте істотно ситуацію з </w:t>
      </w:r>
      <w:r w:rsidR="00A246D9">
        <w:rPr>
          <w:sz w:val="28"/>
          <w:szCs w:val="28"/>
          <w:lang w:val="uk-UA" w:eastAsia="zh-TW"/>
        </w:rPr>
        <w:t>наявними</w:t>
      </w:r>
      <w:r>
        <w:rPr>
          <w:sz w:val="28"/>
          <w:szCs w:val="28"/>
          <w:lang w:val="uk-UA" w:eastAsia="zh-TW"/>
        </w:rPr>
        <w:t xml:space="preserve"> боргами населення не виправила.</w:t>
      </w:r>
    </w:p>
    <w:p w:rsidR="006E5DE2" w:rsidRPr="00C415B0" w:rsidRDefault="006E5DE2" w:rsidP="002C2980">
      <w:pPr>
        <w:pStyle w:val="ae"/>
        <w:spacing w:after="0"/>
        <w:ind w:firstLine="567"/>
        <w:jc w:val="both"/>
        <w:rPr>
          <w:sz w:val="6"/>
          <w:szCs w:val="6"/>
          <w:lang w:val="uk-UA" w:eastAsia="zh-TW"/>
        </w:rPr>
      </w:pPr>
    </w:p>
    <w:p w:rsidR="008A5D22" w:rsidRPr="00D44FF9" w:rsidRDefault="008A5D22" w:rsidP="008A5D22">
      <w:pPr>
        <w:pStyle w:val="ae"/>
        <w:ind w:firstLine="567"/>
        <w:jc w:val="both"/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</w:pPr>
      <w:r w:rsidRPr="00D44FF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Фактичні дані теплопостачальних підприємств м. Чернігова щодо заборгованості населення за послуги з централізованого опалення і гарячого водопостачання:</w:t>
      </w:r>
    </w:p>
    <w:tbl>
      <w:tblPr>
        <w:tblStyle w:val="a7"/>
        <w:tblW w:w="9874" w:type="dxa"/>
        <w:tblLayout w:type="fixed"/>
        <w:tblLook w:val="04A0"/>
      </w:tblPr>
      <w:tblGrid>
        <w:gridCol w:w="1867"/>
        <w:gridCol w:w="1119"/>
        <w:gridCol w:w="1151"/>
        <w:gridCol w:w="1151"/>
        <w:gridCol w:w="1151"/>
        <w:gridCol w:w="1151"/>
        <w:gridCol w:w="1151"/>
        <w:gridCol w:w="1133"/>
      </w:tblGrid>
      <w:tr w:rsidR="00C415B0" w:rsidRPr="00D44FF9" w:rsidTr="00C415B0">
        <w:trPr>
          <w:trHeight w:val="517"/>
        </w:trPr>
        <w:tc>
          <w:tcPr>
            <w:tcW w:w="1867" w:type="dxa"/>
            <w:vMerge w:val="restart"/>
          </w:tcPr>
          <w:p w:rsidR="00C415B0" w:rsidRPr="00D44FF9" w:rsidRDefault="00C415B0" w:rsidP="0029480C">
            <w:pPr>
              <w:pStyle w:val="ae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Назва підприємства</w:t>
            </w:r>
          </w:p>
        </w:tc>
        <w:tc>
          <w:tcPr>
            <w:tcW w:w="8006" w:type="dxa"/>
            <w:gridSpan w:val="7"/>
          </w:tcPr>
          <w:p w:rsidR="00C415B0" w:rsidRDefault="00C415B0" w:rsidP="00C415B0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 xml:space="preserve">Заборгованість населення за послуги теплопостачання, млн </w:t>
            </w:r>
            <w:r>
              <w:rPr>
                <w:lang w:val="uk-UA"/>
              </w:rPr>
              <w:t xml:space="preserve">грн, </w:t>
            </w:r>
          </w:p>
          <w:p w:rsidR="00C415B0" w:rsidRPr="00D44FF9" w:rsidRDefault="00C415B0" w:rsidP="00C415B0">
            <w:pPr>
              <w:pStyle w:val="ae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за станом на:</w:t>
            </w:r>
          </w:p>
        </w:tc>
      </w:tr>
      <w:tr w:rsidR="00C415B0" w:rsidRPr="00D44FF9" w:rsidTr="006E754D">
        <w:trPr>
          <w:trHeight w:val="295"/>
        </w:trPr>
        <w:tc>
          <w:tcPr>
            <w:tcW w:w="1867" w:type="dxa"/>
            <w:vMerge/>
          </w:tcPr>
          <w:p w:rsidR="00C415B0" w:rsidRPr="00D44FF9" w:rsidRDefault="00C415B0" w:rsidP="0029480C">
            <w:pPr>
              <w:pStyle w:val="ae"/>
              <w:jc w:val="both"/>
              <w:rPr>
                <w:lang w:val="uk-UA"/>
              </w:rPr>
            </w:pPr>
          </w:p>
        </w:tc>
        <w:tc>
          <w:tcPr>
            <w:tcW w:w="1119" w:type="dxa"/>
          </w:tcPr>
          <w:p w:rsidR="00C415B0" w:rsidRPr="00D44FF9" w:rsidRDefault="00C415B0" w:rsidP="00C415B0">
            <w:pPr>
              <w:pStyle w:val="ae"/>
              <w:ind w:left="-139" w:right="-108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01.01.</w:t>
            </w:r>
            <w:r>
              <w:rPr>
                <w:lang w:val="uk-UA"/>
              </w:rPr>
              <w:t>20</w:t>
            </w:r>
            <w:r w:rsidRPr="00D44FF9">
              <w:rPr>
                <w:lang w:val="uk-UA"/>
              </w:rPr>
              <w:t>18</w:t>
            </w:r>
          </w:p>
        </w:tc>
        <w:tc>
          <w:tcPr>
            <w:tcW w:w="1151" w:type="dxa"/>
          </w:tcPr>
          <w:p w:rsidR="00C415B0" w:rsidRPr="00D44FF9" w:rsidRDefault="00C415B0" w:rsidP="00C415B0">
            <w:pPr>
              <w:pStyle w:val="ae"/>
              <w:ind w:left="-108" w:right="-108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01.01.</w:t>
            </w:r>
            <w:r>
              <w:rPr>
                <w:lang w:val="uk-UA"/>
              </w:rPr>
              <w:t>20</w:t>
            </w:r>
            <w:r w:rsidRPr="00D44FF9">
              <w:rPr>
                <w:lang w:val="uk-UA"/>
              </w:rPr>
              <w:t>19</w:t>
            </w:r>
          </w:p>
        </w:tc>
        <w:tc>
          <w:tcPr>
            <w:tcW w:w="1151" w:type="dxa"/>
          </w:tcPr>
          <w:p w:rsidR="00C415B0" w:rsidRPr="00D44FF9" w:rsidRDefault="00C415B0" w:rsidP="00C415B0">
            <w:pPr>
              <w:pStyle w:val="ae"/>
              <w:ind w:left="-108" w:right="-108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01.02.</w:t>
            </w:r>
            <w:r>
              <w:rPr>
                <w:lang w:val="uk-UA"/>
              </w:rPr>
              <w:t>20</w:t>
            </w:r>
            <w:r w:rsidRPr="00D44FF9">
              <w:rPr>
                <w:lang w:val="uk-UA"/>
              </w:rPr>
              <w:t>19</w:t>
            </w:r>
          </w:p>
        </w:tc>
        <w:tc>
          <w:tcPr>
            <w:tcW w:w="1151" w:type="dxa"/>
          </w:tcPr>
          <w:p w:rsidR="00C415B0" w:rsidRPr="00D44FF9" w:rsidRDefault="00C415B0" w:rsidP="00C415B0">
            <w:pPr>
              <w:pStyle w:val="ae"/>
              <w:ind w:left="-43" w:right="-156"/>
              <w:jc w:val="center"/>
              <w:rPr>
                <w:b/>
                <w:lang w:val="uk-UA"/>
              </w:rPr>
            </w:pPr>
            <w:r w:rsidRPr="00D44FF9">
              <w:rPr>
                <w:lang w:val="uk-UA"/>
              </w:rPr>
              <w:t>01.03.</w:t>
            </w:r>
            <w:r>
              <w:rPr>
                <w:lang w:val="uk-UA"/>
              </w:rPr>
              <w:t>20</w:t>
            </w:r>
            <w:r w:rsidRPr="00D44FF9">
              <w:rPr>
                <w:lang w:val="uk-UA"/>
              </w:rPr>
              <w:t>19</w:t>
            </w:r>
          </w:p>
        </w:tc>
        <w:tc>
          <w:tcPr>
            <w:tcW w:w="1151" w:type="dxa"/>
          </w:tcPr>
          <w:p w:rsidR="00C415B0" w:rsidRPr="00D44FF9" w:rsidRDefault="00C415B0" w:rsidP="00C415B0">
            <w:pPr>
              <w:pStyle w:val="ae"/>
              <w:ind w:left="-60" w:right="-139"/>
              <w:jc w:val="center"/>
              <w:rPr>
                <w:b/>
                <w:lang w:val="uk-UA"/>
              </w:rPr>
            </w:pPr>
            <w:r w:rsidRPr="00D44FF9">
              <w:rPr>
                <w:lang w:val="uk-UA"/>
              </w:rPr>
              <w:t>01.04.</w:t>
            </w:r>
            <w:r>
              <w:rPr>
                <w:lang w:val="uk-UA"/>
              </w:rPr>
              <w:t>20</w:t>
            </w:r>
            <w:r w:rsidRPr="00D44FF9">
              <w:rPr>
                <w:lang w:val="uk-UA"/>
              </w:rPr>
              <w:t>19</w:t>
            </w:r>
          </w:p>
        </w:tc>
        <w:tc>
          <w:tcPr>
            <w:tcW w:w="1151" w:type="dxa"/>
          </w:tcPr>
          <w:p w:rsidR="00C415B0" w:rsidRPr="00D44FF9" w:rsidRDefault="00C415B0" w:rsidP="00C415B0">
            <w:pPr>
              <w:pStyle w:val="ae"/>
              <w:ind w:left="-77" w:right="-122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01.05.</w:t>
            </w:r>
            <w:r>
              <w:rPr>
                <w:lang w:val="uk-UA"/>
              </w:rPr>
              <w:t>20</w:t>
            </w:r>
            <w:r w:rsidRPr="00D44FF9">
              <w:rPr>
                <w:lang w:val="uk-UA"/>
              </w:rPr>
              <w:t>19</w:t>
            </w:r>
          </w:p>
        </w:tc>
        <w:tc>
          <w:tcPr>
            <w:tcW w:w="1133" w:type="dxa"/>
          </w:tcPr>
          <w:p w:rsidR="00C415B0" w:rsidRPr="00F54089" w:rsidRDefault="00C415B0" w:rsidP="00C415B0">
            <w:pPr>
              <w:pStyle w:val="ae"/>
              <w:ind w:left="-94" w:right="-123"/>
              <w:jc w:val="center"/>
              <w:rPr>
                <w:b/>
                <w:highlight w:val="green"/>
                <w:lang w:val="uk-UA"/>
              </w:rPr>
            </w:pPr>
            <w:r w:rsidRPr="001F56E0">
              <w:rPr>
                <w:b/>
                <w:lang w:val="uk-UA"/>
              </w:rPr>
              <w:t>01.08.2019</w:t>
            </w:r>
          </w:p>
        </w:tc>
      </w:tr>
      <w:tr w:rsidR="00C415B0" w:rsidRPr="00D44FF9" w:rsidTr="00C415B0">
        <w:trPr>
          <w:trHeight w:val="413"/>
        </w:trPr>
        <w:tc>
          <w:tcPr>
            <w:tcW w:w="1867" w:type="dxa"/>
          </w:tcPr>
          <w:p w:rsidR="00C415B0" w:rsidRPr="00D44FF9" w:rsidRDefault="00C415B0" w:rsidP="005C67FC">
            <w:pPr>
              <w:pStyle w:val="ae"/>
              <w:spacing w:after="0"/>
              <w:ind w:right="-192"/>
              <w:rPr>
                <w:lang w:val="uk-UA"/>
              </w:rPr>
            </w:pPr>
            <w:r w:rsidRPr="00D44FF9">
              <w:rPr>
                <w:lang w:val="uk-UA"/>
              </w:rPr>
              <w:t xml:space="preserve">АТ «ОТКЕ»: </w:t>
            </w:r>
          </w:p>
          <w:p w:rsidR="00C415B0" w:rsidRDefault="006E754D" w:rsidP="005C67FC">
            <w:pPr>
              <w:pStyle w:val="ae"/>
              <w:spacing w:after="0"/>
              <w:ind w:right="-192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415B0" w:rsidRPr="00D44FF9">
              <w:rPr>
                <w:lang w:val="uk-UA"/>
              </w:rPr>
              <w:t>сього</w:t>
            </w:r>
            <w:r>
              <w:rPr>
                <w:lang w:val="uk-UA"/>
              </w:rPr>
              <w:t>,</w:t>
            </w:r>
          </w:p>
          <w:p w:rsidR="005C67FC" w:rsidRPr="005C67FC" w:rsidRDefault="005C67FC" w:rsidP="005C67FC">
            <w:pPr>
              <w:pStyle w:val="ae"/>
              <w:spacing w:after="0"/>
              <w:ind w:right="-192"/>
              <w:rPr>
                <w:sz w:val="12"/>
                <w:szCs w:val="12"/>
                <w:lang w:val="uk-UA"/>
              </w:rPr>
            </w:pPr>
          </w:p>
          <w:p w:rsidR="00C415B0" w:rsidRPr="00D44FF9" w:rsidRDefault="00C415B0" w:rsidP="005C67FC">
            <w:pPr>
              <w:pStyle w:val="ae"/>
              <w:spacing w:after="0"/>
              <w:ind w:right="-192"/>
              <w:rPr>
                <w:lang w:val="uk-UA"/>
              </w:rPr>
            </w:pPr>
            <w:r w:rsidRPr="00D44FF9">
              <w:rPr>
                <w:lang w:val="uk-UA"/>
              </w:rPr>
              <w:t>в т.ч. м. Чернігів</w:t>
            </w:r>
          </w:p>
        </w:tc>
        <w:tc>
          <w:tcPr>
            <w:tcW w:w="1119" w:type="dxa"/>
          </w:tcPr>
          <w:p w:rsidR="00C415B0" w:rsidRPr="00D44FF9" w:rsidRDefault="00C415B0" w:rsidP="00027E62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C415B0" w:rsidRPr="00D44FF9" w:rsidRDefault="00C415B0" w:rsidP="00027E62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48,6</w:t>
            </w:r>
          </w:p>
          <w:p w:rsidR="00C415B0" w:rsidRDefault="00C415B0" w:rsidP="00027E62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D44FF9" w:rsidRDefault="00C415B0" w:rsidP="00027E62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43,1</w:t>
            </w:r>
          </w:p>
        </w:tc>
        <w:tc>
          <w:tcPr>
            <w:tcW w:w="1151" w:type="dxa"/>
          </w:tcPr>
          <w:p w:rsidR="00C415B0" w:rsidRPr="001F56E0" w:rsidRDefault="00C415B0" w:rsidP="00FA17FC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C415B0" w:rsidRPr="001F56E0" w:rsidRDefault="00C415B0" w:rsidP="00FA17FC">
            <w:pPr>
              <w:pStyle w:val="ae"/>
              <w:spacing w:after="0"/>
              <w:jc w:val="center"/>
              <w:rPr>
                <w:lang w:val="uk-UA"/>
              </w:rPr>
            </w:pPr>
            <w:r w:rsidRPr="001F56E0">
              <w:rPr>
                <w:lang w:val="uk-UA"/>
              </w:rPr>
              <w:t>119,5</w:t>
            </w:r>
          </w:p>
          <w:p w:rsidR="00C415B0" w:rsidRPr="001F56E0" w:rsidRDefault="00C415B0" w:rsidP="00FA17FC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F56E0" w:rsidRDefault="00C415B0" w:rsidP="00FA17FC">
            <w:pPr>
              <w:pStyle w:val="ae"/>
              <w:spacing w:after="0"/>
              <w:jc w:val="center"/>
              <w:rPr>
                <w:lang w:val="uk-UA"/>
              </w:rPr>
            </w:pPr>
            <w:r w:rsidRPr="001F56E0">
              <w:rPr>
                <w:lang w:val="uk-UA"/>
              </w:rPr>
              <w:t>104,8</w:t>
            </w:r>
          </w:p>
        </w:tc>
        <w:tc>
          <w:tcPr>
            <w:tcW w:w="1151" w:type="dxa"/>
          </w:tcPr>
          <w:p w:rsidR="00C415B0" w:rsidRPr="00D44FF9" w:rsidRDefault="00C415B0" w:rsidP="007A61D3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C415B0" w:rsidRPr="00D44FF9" w:rsidRDefault="00C415B0" w:rsidP="007A61D3">
            <w:pPr>
              <w:pStyle w:val="ae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155,6</w:t>
            </w:r>
          </w:p>
          <w:p w:rsidR="00C415B0" w:rsidRDefault="00C415B0" w:rsidP="007A61D3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D44FF9" w:rsidRDefault="00C415B0" w:rsidP="007A61D3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137,3</w:t>
            </w:r>
          </w:p>
        </w:tc>
        <w:tc>
          <w:tcPr>
            <w:tcW w:w="1151" w:type="dxa"/>
          </w:tcPr>
          <w:p w:rsidR="00C415B0" w:rsidRPr="00117B7A" w:rsidRDefault="00C415B0" w:rsidP="006D5C94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C415B0" w:rsidRPr="00117B7A" w:rsidRDefault="00C415B0" w:rsidP="006D5C94">
            <w:pPr>
              <w:pStyle w:val="ae"/>
              <w:spacing w:after="0"/>
              <w:jc w:val="center"/>
              <w:rPr>
                <w:lang w:val="uk-UA"/>
              </w:rPr>
            </w:pPr>
            <w:r w:rsidRPr="00117B7A">
              <w:rPr>
                <w:lang w:val="uk-UA"/>
              </w:rPr>
              <w:t>176,4</w:t>
            </w:r>
          </w:p>
          <w:p w:rsidR="00C415B0" w:rsidRPr="00117B7A" w:rsidRDefault="00C415B0" w:rsidP="006D5C94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17B7A" w:rsidRDefault="00C415B0" w:rsidP="006D5C94">
            <w:pPr>
              <w:pStyle w:val="ae"/>
              <w:spacing w:after="0"/>
              <w:jc w:val="center"/>
              <w:rPr>
                <w:lang w:val="uk-UA"/>
              </w:rPr>
            </w:pPr>
            <w:r w:rsidRPr="00117B7A">
              <w:rPr>
                <w:lang w:val="uk-UA"/>
              </w:rPr>
              <w:t>154,5</w:t>
            </w:r>
          </w:p>
        </w:tc>
        <w:tc>
          <w:tcPr>
            <w:tcW w:w="1151" w:type="dxa"/>
          </w:tcPr>
          <w:p w:rsidR="00C415B0" w:rsidRPr="00117B7A" w:rsidRDefault="00C415B0" w:rsidP="00EE0E25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C415B0" w:rsidRPr="00117B7A" w:rsidRDefault="00C415B0" w:rsidP="00EE0E25">
            <w:pPr>
              <w:pStyle w:val="ae"/>
              <w:spacing w:after="0"/>
              <w:jc w:val="center"/>
              <w:rPr>
                <w:lang w:val="uk-UA"/>
              </w:rPr>
            </w:pPr>
            <w:r w:rsidRPr="00117B7A">
              <w:rPr>
                <w:lang w:val="uk-UA"/>
              </w:rPr>
              <w:t>174,3</w:t>
            </w:r>
          </w:p>
          <w:p w:rsidR="00C415B0" w:rsidRPr="00117B7A" w:rsidRDefault="00C415B0" w:rsidP="00EE0E25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17B7A" w:rsidRDefault="00C415B0" w:rsidP="00EE0E25">
            <w:pPr>
              <w:pStyle w:val="ae"/>
              <w:spacing w:after="0"/>
              <w:jc w:val="center"/>
              <w:rPr>
                <w:lang w:val="uk-UA"/>
              </w:rPr>
            </w:pPr>
            <w:r w:rsidRPr="00117B7A">
              <w:rPr>
                <w:lang w:val="uk-UA"/>
              </w:rPr>
              <w:t>153,1</w:t>
            </w:r>
          </w:p>
        </w:tc>
        <w:tc>
          <w:tcPr>
            <w:tcW w:w="1151" w:type="dxa"/>
          </w:tcPr>
          <w:p w:rsidR="00C415B0" w:rsidRPr="00D44FF9" w:rsidRDefault="00C415B0" w:rsidP="00007B0B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C415B0" w:rsidRPr="00D44FF9" w:rsidRDefault="00C415B0" w:rsidP="00007B0B">
            <w:pPr>
              <w:pStyle w:val="ae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143,6</w:t>
            </w:r>
          </w:p>
          <w:p w:rsidR="00C415B0" w:rsidRDefault="00C415B0" w:rsidP="00007B0B">
            <w:pPr>
              <w:pStyle w:val="ae"/>
              <w:spacing w:after="0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D44FF9" w:rsidRDefault="00C415B0" w:rsidP="00007B0B">
            <w:pPr>
              <w:pStyle w:val="ae"/>
              <w:spacing w:after="0"/>
              <w:jc w:val="center"/>
              <w:rPr>
                <w:lang w:val="uk-UA"/>
              </w:rPr>
            </w:pPr>
            <w:r w:rsidRPr="00D44FF9">
              <w:rPr>
                <w:lang w:val="uk-UA"/>
              </w:rPr>
              <w:t>126,3</w:t>
            </w:r>
          </w:p>
        </w:tc>
        <w:tc>
          <w:tcPr>
            <w:tcW w:w="1133" w:type="dxa"/>
          </w:tcPr>
          <w:p w:rsidR="001F56E0" w:rsidRPr="00A1221A" w:rsidRDefault="001F56E0" w:rsidP="001F56E0">
            <w:pPr>
              <w:pStyle w:val="ae"/>
              <w:spacing w:after="0"/>
              <w:jc w:val="center"/>
              <w:rPr>
                <w:b/>
                <w:lang w:val="uk-UA"/>
              </w:rPr>
            </w:pPr>
          </w:p>
          <w:p w:rsidR="001F56E0" w:rsidRPr="00A1221A" w:rsidRDefault="001F56E0" w:rsidP="001F56E0">
            <w:pPr>
              <w:pStyle w:val="ae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101,6</w:t>
            </w:r>
          </w:p>
          <w:p w:rsidR="001F56E0" w:rsidRPr="00A1221A" w:rsidRDefault="001F56E0" w:rsidP="001F56E0">
            <w:pPr>
              <w:pStyle w:val="ae"/>
              <w:spacing w:after="0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C415B0" w:rsidRPr="00117B7A" w:rsidRDefault="001F56E0" w:rsidP="001F56E0">
            <w:pPr>
              <w:pStyle w:val="ae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87,8</w:t>
            </w:r>
          </w:p>
        </w:tc>
      </w:tr>
      <w:tr w:rsidR="00C415B0" w:rsidRPr="00D44FF9" w:rsidTr="00C415B0">
        <w:trPr>
          <w:trHeight w:val="413"/>
        </w:trPr>
        <w:tc>
          <w:tcPr>
            <w:tcW w:w="1867" w:type="dxa"/>
          </w:tcPr>
          <w:p w:rsidR="00C415B0" w:rsidRPr="00D44FF9" w:rsidRDefault="00C415B0" w:rsidP="005C67FC">
            <w:pPr>
              <w:pStyle w:val="ae"/>
              <w:ind w:right="-192"/>
              <w:rPr>
                <w:lang w:val="uk-UA"/>
              </w:rPr>
            </w:pPr>
            <w:r w:rsidRPr="00D44FF9">
              <w:rPr>
                <w:lang w:val="uk-UA"/>
              </w:rPr>
              <w:t>КЕП «Чернігів</w:t>
            </w:r>
            <w:r w:rsidR="005C67FC">
              <w:rPr>
                <w:lang w:val="uk-UA"/>
              </w:rPr>
              <w:t>-</w:t>
            </w:r>
            <w:r w:rsidRPr="00D44FF9">
              <w:rPr>
                <w:lang w:val="uk-UA"/>
              </w:rPr>
              <w:t>ська ТЕЦ» ТОВ фірми «ТехНова»</w:t>
            </w:r>
          </w:p>
        </w:tc>
        <w:tc>
          <w:tcPr>
            <w:tcW w:w="1119" w:type="dxa"/>
          </w:tcPr>
          <w:p w:rsidR="00C415B0" w:rsidRDefault="00C415B0" w:rsidP="00027E62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983D26" w:rsidRDefault="00C415B0" w:rsidP="00027E62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D44FF9" w:rsidRDefault="00C415B0" w:rsidP="00027E62">
            <w:pPr>
              <w:pStyle w:val="ae"/>
              <w:jc w:val="center"/>
              <w:rPr>
                <w:lang w:val="uk-UA"/>
              </w:rPr>
            </w:pPr>
            <w:r>
              <w:rPr>
                <w:lang w:val="uk-UA"/>
              </w:rPr>
              <w:t>52,4</w:t>
            </w:r>
          </w:p>
        </w:tc>
        <w:tc>
          <w:tcPr>
            <w:tcW w:w="1151" w:type="dxa"/>
          </w:tcPr>
          <w:p w:rsidR="00C415B0" w:rsidRPr="001F56E0" w:rsidRDefault="00C415B0" w:rsidP="00FA17FC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F56E0" w:rsidRDefault="00C415B0" w:rsidP="00FA17FC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F56E0" w:rsidRDefault="00C415B0" w:rsidP="00FA17FC">
            <w:pPr>
              <w:pStyle w:val="ae"/>
              <w:jc w:val="center"/>
              <w:rPr>
                <w:lang w:val="uk-UA"/>
              </w:rPr>
            </w:pPr>
            <w:r w:rsidRPr="001F56E0">
              <w:rPr>
                <w:lang w:val="uk-UA"/>
              </w:rPr>
              <w:t>72,8</w:t>
            </w:r>
          </w:p>
        </w:tc>
        <w:tc>
          <w:tcPr>
            <w:tcW w:w="1151" w:type="dxa"/>
          </w:tcPr>
          <w:p w:rsidR="00C415B0" w:rsidRDefault="00C415B0" w:rsidP="007A61D3">
            <w:pPr>
              <w:pStyle w:val="ae"/>
              <w:spacing w:after="0"/>
              <w:jc w:val="center"/>
              <w:rPr>
                <w:lang w:val="uk-UA"/>
              </w:rPr>
            </w:pPr>
          </w:p>
          <w:p w:rsidR="00C415B0" w:rsidRPr="00983D26" w:rsidRDefault="00C415B0" w:rsidP="007A61D3">
            <w:pPr>
              <w:pStyle w:val="ae"/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  <w:p w:rsidR="00C415B0" w:rsidRPr="00D44FF9" w:rsidRDefault="00C415B0" w:rsidP="007A61D3">
            <w:pPr>
              <w:pStyle w:val="ae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87,8</w:t>
            </w:r>
          </w:p>
        </w:tc>
        <w:tc>
          <w:tcPr>
            <w:tcW w:w="1151" w:type="dxa"/>
          </w:tcPr>
          <w:p w:rsidR="00C415B0" w:rsidRPr="00117B7A" w:rsidRDefault="00C415B0" w:rsidP="006D5C94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17B7A" w:rsidRDefault="00C415B0" w:rsidP="006D5C94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17B7A" w:rsidRDefault="00C415B0" w:rsidP="006D5C94">
            <w:pPr>
              <w:pStyle w:val="ae"/>
              <w:jc w:val="center"/>
              <w:rPr>
                <w:lang w:val="uk-UA"/>
              </w:rPr>
            </w:pPr>
            <w:r w:rsidRPr="00117B7A">
              <w:rPr>
                <w:lang w:val="uk-UA"/>
              </w:rPr>
              <w:t>94,5</w:t>
            </w:r>
          </w:p>
        </w:tc>
        <w:tc>
          <w:tcPr>
            <w:tcW w:w="1151" w:type="dxa"/>
          </w:tcPr>
          <w:p w:rsidR="00C415B0" w:rsidRPr="00117B7A" w:rsidRDefault="00C415B0" w:rsidP="00EE0E25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17B7A" w:rsidRDefault="00C415B0" w:rsidP="00EE0E25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117B7A" w:rsidRDefault="00C415B0" w:rsidP="00EE0E25">
            <w:pPr>
              <w:pStyle w:val="ae"/>
              <w:jc w:val="center"/>
              <w:rPr>
                <w:lang w:val="uk-UA"/>
              </w:rPr>
            </w:pPr>
            <w:r w:rsidRPr="00117B7A">
              <w:rPr>
                <w:lang w:val="uk-UA"/>
              </w:rPr>
              <w:t>95,0</w:t>
            </w:r>
          </w:p>
        </w:tc>
        <w:tc>
          <w:tcPr>
            <w:tcW w:w="1151" w:type="dxa"/>
          </w:tcPr>
          <w:p w:rsidR="00C415B0" w:rsidRDefault="00C415B0" w:rsidP="00007B0B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983D26" w:rsidRDefault="00C415B0" w:rsidP="00007B0B">
            <w:pPr>
              <w:pStyle w:val="ae"/>
              <w:jc w:val="center"/>
              <w:rPr>
                <w:sz w:val="12"/>
                <w:szCs w:val="12"/>
                <w:lang w:val="uk-UA"/>
              </w:rPr>
            </w:pPr>
          </w:p>
          <w:p w:rsidR="00C415B0" w:rsidRPr="00983D26" w:rsidRDefault="00C415B0" w:rsidP="00007B0B">
            <w:pPr>
              <w:pStyle w:val="ae"/>
              <w:jc w:val="center"/>
              <w:rPr>
                <w:lang w:val="uk-UA"/>
              </w:rPr>
            </w:pPr>
            <w:r w:rsidRPr="00983D26">
              <w:rPr>
                <w:lang w:val="uk-UA"/>
              </w:rPr>
              <w:t>73,5</w:t>
            </w:r>
          </w:p>
        </w:tc>
        <w:tc>
          <w:tcPr>
            <w:tcW w:w="1133" w:type="dxa"/>
          </w:tcPr>
          <w:p w:rsidR="003200AC" w:rsidRPr="00117B7A" w:rsidRDefault="003200AC" w:rsidP="003200AC">
            <w:pPr>
              <w:pStyle w:val="ae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3200AC" w:rsidRPr="00117B7A" w:rsidRDefault="003200AC" w:rsidP="003200AC">
            <w:pPr>
              <w:pStyle w:val="ae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C415B0" w:rsidRPr="00117B7A" w:rsidRDefault="001D610B" w:rsidP="003200AC">
            <w:pPr>
              <w:pStyle w:val="ae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48,1</w:t>
            </w:r>
          </w:p>
        </w:tc>
      </w:tr>
    </w:tbl>
    <w:p w:rsidR="00836986" w:rsidRPr="00836986" w:rsidRDefault="00836986" w:rsidP="002C2980">
      <w:pPr>
        <w:pStyle w:val="ae"/>
        <w:spacing w:after="0"/>
        <w:ind w:firstLine="567"/>
        <w:jc w:val="both"/>
        <w:rPr>
          <w:sz w:val="12"/>
          <w:szCs w:val="12"/>
          <w:lang w:val="uk-UA" w:eastAsia="zh-TW"/>
        </w:rPr>
      </w:pPr>
    </w:p>
    <w:p w:rsidR="002C2980" w:rsidRDefault="002C2980" w:rsidP="002C2980">
      <w:pPr>
        <w:pStyle w:val="ae"/>
        <w:spacing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zh-TW"/>
        </w:rPr>
        <w:t xml:space="preserve">Сьогодні, за діючої системи регулювання правових відносин у сфері надання комунальних послуг, існує ряд проблемних питань </w:t>
      </w:r>
      <w:r w:rsidR="00E346FF">
        <w:rPr>
          <w:sz w:val="28"/>
          <w:szCs w:val="28"/>
          <w:lang w:val="uk-UA" w:eastAsia="zh-TW"/>
        </w:rPr>
        <w:t>галузі</w:t>
      </w:r>
      <w:r>
        <w:rPr>
          <w:sz w:val="28"/>
          <w:szCs w:val="28"/>
          <w:lang w:val="uk-UA" w:eastAsia="zh-TW"/>
        </w:rPr>
        <w:t xml:space="preserve"> теплопостачання, що ставить під загрозу зриву нормальне </w:t>
      </w:r>
      <w:r>
        <w:rPr>
          <w:color w:val="000000"/>
          <w:sz w:val="28"/>
          <w:szCs w:val="28"/>
          <w:lang w:val="uk-UA"/>
        </w:rPr>
        <w:t xml:space="preserve">проходження чергового опалювального сезону. </w:t>
      </w:r>
    </w:p>
    <w:p w:rsidR="002C2980" w:rsidRDefault="002C2980" w:rsidP="002C2980">
      <w:pPr>
        <w:pStyle w:val="ae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Зокрема, </w:t>
      </w:r>
      <w:r w:rsidR="00307B35">
        <w:rPr>
          <w:color w:val="000000"/>
          <w:sz w:val="28"/>
          <w:szCs w:val="28"/>
          <w:lang w:val="uk-UA"/>
        </w:rPr>
        <w:t xml:space="preserve">п. 3 </w:t>
      </w:r>
      <w:r>
        <w:rPr>
          <w:color w:val="000000"/>
          <w:sz w:val="28"/>
          <w:szCs w:val="28"/>
          <w:lang w:val="uk-UA"/>
        </w:rPr>
        <w:t>Перехідни</w:t>
      </w:r>
      <w:r w:rsidR="00307B35"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 xml:space="preserve"> положен</w:t>
      </w:r>
      <w:r w:rsidR="00307B35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</w:t>
      </w:r>
      <w:r w:rsidR="00307B35">
        <w:rPr>
          <w:sz w:val="28"/>
          <w:szCs w:val="28"/>
          <w:lang w:val="uk-UA" w:eastAsia="zh-TW"/>
        </w:rPr>
        <w:t xml:space="preserve">Закону України </w:t>
      </w:r>
      <w:r w:rsidR="00307B35">
        <w:rPr>
          <w:color w:val="000000"/>
          <w:sz w:val="28"/>
          <w:szCs w:val="28"/>
          <w:shd w:val="clear" w:color="auto" w:fill="FFFFFF"/>
          <w:lang w:val="uk-UA"/>
        </w:rPr>
        <w:t xml:space="preserve">«Про житлово-комунальні послуги» від 09.11.2017 № 2189-VIII (далі – Закон) </w:t>
      </w:r>
      <w:r>
        <w:rPr>
          <w:color w:val="000000"/>
          <w:sz w:val="28"/>
          <w:szCs w:val="28"/>
          <w:lang w:val="uk-UA"/>
        </w:rPr>
        <w:t xml:space="preserve">визначено, що </w:t>
      </w:r>
      <w:r w:rsidRPr="004C156B">
        <w:rPr>
          <w:color w:val="000000"/>
          <w:sz w:val="28"/>
          <w:szCs w:val="28"/>
          <w:lang w:val="uk-UA"/>
        </w:rPr>
        <w:t>д</w:t>
      </w:r>
      <w:r w:rsidRPr="004C156B">
        <w:rPr>
          <w:color w:val="000000"/>
          <w:sz w:val="28"/>
          <w:szCs w:val="28"/>
          <w:shd w:val="clear" w:color="auto" w:fill="FFFFFF"/>
        </w:rPr>
        <w:t xml:space="preserve">оговори про надання комунальних послуг, укладені до введення в дію Закону, </w:t>
      </w:r>
      <w:r w:rsidRPr="00DB6A92">
        <w:rPr>
          <w:color w:val="000000"/>
          <w:sz w:val="28"/>
          <w:szCs w:val="28"/>
          <w:shd w:val="clear" w:color="auto" w:fill="FFFFFF"/>
        </w:rPr>
        <w:t>зберігають чинність на умовах, визначених такими договорами</w:t>
      </w:r>
      <w:r w:rsidRPr="004C156B">
        <w:rPr>
          <w:color w:val="000000"/>
          <w:sz w:val="28"/>
          <w:szCs w:val="28"/>
          <w:shd w:val="clear" w:color="auto" w:fill="FFFFFF"/>
        </w:rPr>
        <w:t xml:space="preserve">, до дати набрання </w:t>
      </w:r>
      <w:r w:rsidRPr="004C156B">
        <w:rPr>
          <w:color w:val="000000"/>
          <w:sz w:val="28"/>
          <w:szCs w:val="28"/>
          <w:shd w:val="clear" w:color="auto" w:fill="FFFFFF"/>
        </w:rPr>
        <w:lastRenderedPageBreak/>
        <w:t>чинності договорами про надання відповідних комунальних послуг, укладеними за правилами, визначеними цим Законом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«Нові» договори мають укладатися відповідно до обраної співвласниками багатоквартирних будинків моделі організації договірних відносин з надання комунальних послуг (індивідуальні, колективні договори) згідно з </w:t>
      </w:r>
      <w:r w:rsidRPr="00DB6A92">
        <w:rPr>
          <w:color w:val="000000"/>
          <w:sz w:val="28"/>
          <w:szCs w:val="28"/>
          <w:shd w:val="clear" w:color="auto" w:fill="FFFFFF"/>
          <w:lang w:val="uk-UA"/>
        </w:rPr>
        <w:t>типовими договорами</w:t>
      </w:r>
      <w:r>
        <w:rPr>
          <w:color w:val="000000"/>
          <w:sz w:val="28"/>
          <w:szCs w:val="28"/>
          <w:shd w:val="clear" w:color="auto" w:fill="FFFFFF"/>
          <w:lang w:val="uk-UA"/>
        </w:rPr>
        <w:t>, затвердженими Кабінетом Міністрів України (ст. 4, ст. 8, ст. 12 Закону). З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станом на </w:t>
      </w:r>
      <w:r w:rsidR="00783435">
        <w:rPr>
          <w:color w:val="000000"/>
          <w:sz w:val="28"/>
          <w:szCs w:val="28"/>
          <w:shd w:val="clear" w:color="auto" w:fill="FFFFFF"/>
          <w:lang w:val="uk-UA"/>
        </w:rPr>
        <w:t>21.08.2019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типові договори, як і правила надання послуг з постачання теплової енергії та гарячої води, Кабміном не затверджені. </w:t>
      </w:r>
    </w:p>
    <w:p w:rsidR="002C2980" w:rsidRDefault="002C2980" w:rsidP="002C2980">
      <w:pPr>
        <w:pStyle w:val="ae"/>
        <w:spacing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Встановлений Законом термін </w:t>
      </w:r>
      <w:r w:rsidR="00E346FF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визначення співвласниками моделі організації договірних відносин – до 01.05.2020. У </w:t>
      </w:r>
      <w:r>
        <w:rPr>
          <w:color w:val="000000"/>
          <w:sz w:val="28"/>
          <w:szCs w:val="28"/>
          <w:lang w:val="uk-UA"/>
        </w:rPr>
        <w:t xml:space="preserve">діючих договорах вартість послуг є істотною умовою, тому до моменту укладення «нових» договорів </w:t>
      </w:r>
      <w:r w:rsidR="003E20CB">
        <w:rPr>
          <w:color w:val="000000"/>
          <w:sz w:val="28"/>
          <w:szCs w:val="28"/>
          <w:lang w:val="uk-UA"/>
        </w:rPr>
        <w:t>у разі</w:t>
      </w:r>
      <w:r>
        <w:rPr>
          <w:color w:val="000000"/>
          <w:sz w:val="28"/>
          <w:szCs w:val="28"/>
          <w:lang w:val="uk-UA"/>
        </w:rPr>
        <w:t xml:space="preserve"> зростанн</w:t>
      </w:r>
      <w:r w:rsidR="003E20CB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 xml:space="preserve"> складових витрат у теплопостачальних підприємств виникатиме різниця в тарифах (невідповідність фактичних витрат на надання комунальних послуг рівню встановлених тарифів). Питання компенсації різниці в тарифах наразі законодавчо не врегульоване.</w:t>
      </w:r>
    </w:p>
    <w:p w:rsidR="002C2980" w:rsidRDefault="002C2980" w:rsidP="002C2980">
      <w:pPr>
        <w:pStyle w:val="ae"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Також залишаються чинними вимоги </w:t>
      </w:r>
      <w:r w:rsidRPr="00D44FF9">
        <w:rPr>
          <w:sz w:val="28"/>
          <w:szCs w:val="28"/>
          <w:lang w:val="uk-UA" w:eastAsia="zh-TW"/>
        </w:rPr>
        <w:t xml:space="preserve">Положення </w:t>
      </w:r>
      <w:r w:rsidRPr="00D44FF9">
        <w:rPr>
          <w:bCs/>
          <w:color w:val="000000"/>
          <w:sz w:val="28"/>
          <w:szCs w:val="28"/>
          <w:shd w:val="clear" w:color="auto" w:fill="FFFFFF"/>
        </w:rPr>
        <w:t>про покладення спеціальних обов’язків на суб’єктів ринку природного газу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D44FF9">
        <w:rPr>
          <w:bCs/>
          <w:color w:val="000000"/>
          <w:sz w:val="28"/>
          <w:szCs w:val="28"/>
          <w:shd w:val="clear" w:color="auto" w:fill="FFFFFF"/>
        </w:rPr>
        <w:t xml:space="preserve"> для забезпечення загальносуспільних інтересів у процесі функціонування ринку природного газу</w:t>
      </w:r>
      <w:r w:rsidRPr="00D44FF9">
        <w:rPr>
          <w:bCs/>
          <w:color w:val="000000"/>
          <w:sz w:val="28"/>
          <w:szCs w:val="28"/>
          <w:shd w:val="clear" w:color="auto" w:fill="FFFFFF"/>
          <w:lang w:val="uk-UA"/>
        </w:rPr>
        <w:t>, затвердженого постановою Кабінету Міністрів України від 19 жовтня 2018 року № 867 (далі – Положення № 867)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щодо необхідності досягнення теплопостачальними підприємствами 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>рів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ня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оплати за газ для подальшого його отримання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 розмірі 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>не менше 90 %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. За умов критичного браку обігових коштів, що 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>ускладню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є</w:t>
      </w:r>
      <w:r w:rsidRPr="0039203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ться наявністю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різниці в тарифах, переважна частина теплопостачальних підприємств неспроможна досягти нормативного рівня оплати за газ.</w:t>
      </w:r>
    </w:p>
    <w:p w:rsidR="002C2980" w:rsidRDefault="002C2980" w:rsidP="002C2980">
      <w:pPr>
        <w:pStyle w:val="ae"/>
        <w:spacing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Крім того, термінового вирішення потребують питання, пов’язані з реалізацією </w:t>
      </w:r>
      <w:r w:rsidRPr="00BA2887">
        <w:rPr>
          <w:sz w:val="28"/>
          <w:szCs w:val="28"/>
          <w:lang w:val="uk-UA" w:eastAsia="zh-TW"/>
        </w:rPr>
        <w:t>постанови Кабінет</w:t>
      </w:r>
      <w:r>
        <w:rPr>
          <w:sz w:val="28"/>
          <w:szCs w:val="28"/>
          <w:lang w:val="uk-UA" w:eastAsia="zh-TW"/>
        </w:rPr>
        <w:t>у</w:t>
      </w:r>
      <w:r w:rsidRPr="00BA2887">
        <w:rPr>
          <w:sz w:val="28"/>
          <w:szCs w:val="28"/>
          <w:lang w:val="uk-UA" w:eastAsia="zh-TW"/>
        </w:rPr>
        <w:t xml:space="preserve"> Міністрів України від 26.06.2019 № 560 «Деякі питання захисту прав споживачів житлово-комунальних послуг» (далі – </w:t>
      </w:r>
      <w:r w:rsidRPr="00BA2887">
        <w:rPr>
          <w:color w:val="000000"/>
          <w:sz w:val="28"/>
          <w:szCs w:val="28"/>
          <w:lang w:val="uk-UA"/>
        </w:rPr>
        <w:t>Постанова №560)</w:t>
      </w:r>
      <w:r>
        <w:rPr>
          <w:color w:val="000000"/>
          <w:sz w:val="28"/>
          <w:szCs w:val="28"/>
          <w:lang w:val="uk-UA"/>
        </w:rPr>
        <w:t>.</w:t>
      </w:r>
    </w:p>
    <w:p w:rsidR="002C2980" w:rsidRDefault="002C2980" w:rsidP="002C29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з</w:t>
      </w:r>
      <w:r w:rsidRPr="00840AD5">
        <w:rPr>
          <w:sz w:val="28"/>
          <w:szCs w:val="28"/>
          <w:lang w:val="uk-UA"/>
        </w:rPr>
        <w:t xml:space="preserve">гідно з п.2 </w:t>
      </w:r>
      <w:r w:rsidRPr="005C6D2B">
        <w:rPr>
          <w:color w:val="000000"/>
          <w:sz w:val="28"/>
          <w:szCs w:val="28"/>
          <w:lang w:val="uk-UA"/>
        </w:rPr>
        <w:t>Постанов</w:t>
      </w:r>
      <w:r w:rsidRPr="00840AD5">
        <w:rPr>
          <w:sz w:val="28"/>
          <w:szCs w:val="28"/>
          <w:lang w:val="uk-UA"/>
        </w:rPr>
        <w:t>и</w:t>
      </w:r>
      <w:r w:rsidRPr="005C6D2B">
        <w:rPr>
          <w:color w:val="000000"/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 w:rsidRPr="005C6D2B">
        <w:rPr>
          <w:color w:val="000000"/>
          <w:sz w:val="28"/>
          <w:szCs w:val="28"/>
          <w:lang w:val="uk-UA"/>
        </w:rPr>
        <w:t>560</w:t>
      </w:r>
      <w:r w:rsidRPr="00840AD5">
        <w:rPr>
          <w:sz w:val="28"/>
          <w:szCs w:val="28"/>
          <w:lang w:val="uk-UA"/>
        </w:rPr>
        <w:t xml:space="preserve"> органи місцевого самоврядування зобов’язані забезпечити до 01.09.2019 перерахунок тарифів на постачання теплової енергії та гарячої води у межах граничних</w:t>
      </w:r>
      <w:r>
        <w:rPr>
          <w:sz w:val="28"/>
          <w:szCs w:val="28"/>
          <w:lang w:val="uk-UA"/>
        </w:rPr>
        <w:t xml:space="preserve"> розмірів (1400 грн/Гкал з ПДВ, 35,21 грн/м кв з ПДВ, 83,66/75,74 грн /м куб з ПДВ).</w:t>
      </w:r>
      <w:r w:rsidRPr="00840A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40AD5">
        <w:rPr>
          <w:sz w:val="28"/>
          <w:szCs w:val="28"/>
          <w:lang w:val="uk-UA"/>
        </w:rPr>
        <w:t>роте у м. Чернігові менше 3% споживачів розраховуються за послуги з теплопостачання за тарифами</w:t>
      </w:r>
      <w:r>
        <w:rPr>
          <w:sz w:val="28"/>
          <w:szCs w:val="28"/>
          <w:lang w:val="uk-UA"/>
        </w:rPr>
        <w:t>,</w:t>
      </w:r>
      <w:r w:rsidRPr="00840A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</w:t>
      </w:r>
      <w:r w:rsidRPr="00840AD5">
        <w:rPr>
          <w:sz w:val="28"/>
          <w:szCs w:val="28"/>
          <w:lang w:val="uk-UA"/>
        </w:rPr>
        <w:t>регул</w:t>
      </w:r>
      <w:r>
        <w:rPr>
          <w:sz w:val="28"/>
          <w:szCs w:val="28"/>
          <w:lang w:val="uk-UA"/>
        </w:rPr>
        <w:t>юються</w:t>
      </w:r>
      <w:r w:rsidRPr="00840A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виконавчим комітетом міської ради</w:t>
      </w:r>
      <w:r w:rsidRPr="00840AD5"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Л</w:t>
      </w:r>
      <w:r w:rsidRPr="00632B57">
        <w:rPr>
          <w:color w:val="000000"/>
          <w:sz w:val="28"/>
          <w:szCs w:val="28"/>
          <w:lang w:val="uk-UA"/>
        </w:rPr>
        <w:t>іцензування діяльності</w:t>
      </w:r>
      <w:r>
        <w:rPr>
          <w:color w:val="000000"/>
          <w:sz w:val="28"/>
          <w:szCs w:val="28"/>
          <w:lang w:val="uk-UA"/>
        </w:rPr>
        <w:t xml:space="preserve"> і</w:t>
      </w:r>
      <w:r w:rsidRPr="00632B57">
        <w:rPr>
          <w:color w:val="000000"/>
          <w:sz w:val="28"/>
          <w:szCs w:val="28"/>
          <w:lang w:val="uk-UA"/>
        </w:rPr>
        <w:t>, відповідно, встановлення тарифів на послуги</w:t>
      </w:r>
      <w:r>
        <w:rPr>
          <w:sz w:val="28"/>
          <w:szCs w:val="28"/>
          <w:lang w:val="uk-UA" w:eastAsia="zh-TW"/>
        </w:rPr>
        <w:t xml:space="preserve"> АТ «ОТКЕ» та </w:t>
      </w:r>
      <w:r w:rsidRPr="00675385">
        <w:rPr>
          <w:bCs/>
          <w:color w:val="000000"/>
          <w:sz w:val="28"/>
          <w:szCs w:val="28"/>
          <w:shd w:val="clear" w:color="auto" w:fill="FFFFFF"/>
          <w:lang w:val="uk-UA"/>
        </w:rPr>
        <w:t>КЕП «Чернігівська ТЕЦ» ТОВ фірми «ТехНова»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color w:val="000000"/>
          <w:sz w:val="28"/>
          <w:szCs w:val="28"/>
          <w:lang w:val="uk-UA"/>
        </w:rPr>
        <w:t xml:space="preserve">суб’єктів господарювання, що надають послуги теплопостачання абсолютній </w:t>
      </w:r>
      <w:r w:rsidRPr="00632B57">
        <w:rPr>
          <w:color w:val="000000"/>
          <w:sz w:val="28"/>
          <w:szCs w:val="28"/>
          <w:lang w:val="uk-UA"/>
        </w:rPr>
        <w:t>більшості споживачів</w:t>
      </w:r>
      <w:r>
        <w:rPr>
          <w:color w:val="000000"/>
          <w:sz w:val="28"/>
          <w:szCs w:val="28"/>
          <w:lang w:val="uk-UA"/>
        </w:rPr>
        <w:t xml:space="preserve"> </w:t>
      </w:r>
      <w:r w:rsidRPr="00632B57">
        <w:rPr>
          <w:color w:val="000000"/>
          <w:sz w:val="28"/>
          <w:szCs w:val="28"/>
          <w:lang w:val="uk-UA"/>
        </w:rPr>
        <w:t>м. Чернігов</w:t>
      </w:r>
      <w:r>
        <w:rPr>
          <w:color w:val="000000"/>
          <w:sz w:val="28"/>
          <w:szCs w:val="28"/>
          <w:lang w:val="uk-UA"/>
        </w:rPr>
        <w:t>а (близько 97%)</w:t>
      </w:r>
      <w:r w:rsidRPr="00632B57">
        <w:rPr>
          <w:color w:val="000000"/>
          <w:sz w:val="28"/>
          <w:szCs w:val="28"/>
          <w:lang w:val="uk-UA"/>
        </w:rPr>
        <w:t xml:space="preserve">, належить до компетенції </w:t>
      </w:r>
      <w:r w:rsidRPr="00632B57">
        <w:rPr>
          <w:bCs/>
          <w:color w:val="000000"/>
          <w:sz w:val="28"/>
          <w:szCs w:val="28"/>
          <w:shd w:val="clear" w:color="auto" w:fill="FFFFFF"/>
          <w:lang w:val="uk-UA"/>
        </w:rPr>
        <w:t>Національної комісії, що здійснює державне регулювання у сферах енергетики та комунальних послуг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(далі – НКРЕКП)</w:t>
      </w:r>
      <w:r w:rsidRPr="00632B57">
        <w:rPr>
          <w:color w:val="000000"/>
          <w:sz w:val="28"/>
          <w:szCs w:val="28"/>
          <w:lang w:val="uk-UA"/>
        </w:rPr>
        <w:t xml:space="preserve">. </w:t>
      </w:r>
    </w:p>
    <w:p w:rsidR="002C2980" w:rsidRDefault="002C2980" w:rsidP="002C2980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24C66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Закону згідно з постановами</w:t>
      </w:r>
      <w:r w:rsidRPr="00124C66">
        <w:rPr>
          <w:color w:val="000000"/>
          <w:sz w:val="28"/>
          <w:szCs w:val="28"/>
          <w:lang w:val="uk-UA"/>
        </w:rPr>
        <w:t xml:space="preserve"> НКРЕКП</w:t>
      </w:r>
      <w:r w:rsidRPr="00124C6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 10 грудня 2018 року № 1766 і від 11 грудня 2018 року № 1824 вартість послуг теплопостачання в м.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124C66">
        <w:rPr>
          <w:bCs/>
          <w:color w:val="000000"/>
          <w:sz w:val="28"/>
          <w:szCs w:val="28"/>
          <w:shd w:val="clear" w:color="auto" w:fill="FFFFFF"/>
          <w:lang w:val="uk-UA"/>
        </w:rPr>
        <w:t>Чернігові становить 1737,61 грн /Гкал у АТ 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ОТКЕ</w:t>
      </w:r>
      <w:r w:rsidRPr="00124C66">
        <w:rPr>
          <w:bCs/>
          <w:color w:val="000000"/>
          <w:sz w:val="28"/>
          <w:szCs w:val="28"/>
          <w:shd w:val="clear" w:color="auto" w:fill="FFFFFF"/>
          <w:lang w:val="uk-UA"/>
        </w:rPr>
        <w:t>» та 1598,94 грн /Гкал у КЕП «Чернігівська ТЕЦ» ТОВ фірми «ТехНова», що перевищує граничний рівень, визначений Постановою №560.</w:t>
      </w:r>
    </w:p>
    <w:p w:rsidR="002C2980" w:rsidRPr="00A227E7" w:rsidRDefault="002C2980" w:rsidP="002C2980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Згідно з п. 2, п. 4 ст. 10 Закону України «Про державне регулювання у сфері комунальних послуг» </w:t>
      </w:r>
      <w:r w:rsidRPr="00A227E7">
        <w:rPr>
          <w:color w:val="000000"/>
          <w:sz w:val="28"/>
          <w:szCs w:val="28"/>
          <w:shd w:val="clear" w:color="auto" w:fill="FFFFFF"/>
          <w:lang w:val="uk-UA"/>
        </w:rPr>
        <w:t xml:space="preserve">тарифи на комунальні послуги суб'єктів природних </w:t>
      </w:r>
      <w:r w:rsidRPr="00A227E7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монополій та суб'єктів господарювання на суміжних ринках повинні забезпечувати відшкодування всіх економічно обґрунтованих планованих витрат на їх виробництво з урахуванням планованого прибутку. </w:t>
      </w:r>
      <w:r w:rsidRPr="00A227E7">
        <w:rPr>
          <w:color w:val="000000"/>
          <w:sz w:val="28"/>
          <w:szCs w:val="28"/>
          <w:shd w:val="clear" w:color="auto" w:fill="FFFFFF"/>
        </w:rPr>
        <w:t>Встановлення тарифів на комунальні послуги, нижчих за розмір економічно обґрунтованих витрат на їх виробництво, не допускається і може бути оскаржено в суді</w:t>
      </w:r>
      <w:r w:rsidRPr="00A227E7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C2980" w:rsidRDefault="002C2980" w:rsidP="002C2980">
      <w:pPr>
        <w:pStyle w:val="af2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 інформацією </w:t>
      </w:r>
      <w:r w:rsidRPr="00655C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 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ОТКЕ</w:t>
      </w:r>
      <w:r w:rsidRPr="00655C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граничні тарифи, визначені Постановою № 560, не покривають виробничі витрати підприємства, необхідні для закупівлі за діючими цінами енергоносіїв. Очікувані збитки </w:t>
      </w:r>
      <w:r w:rsidRPr="00655C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 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ОТКЕ</w:t>
      </w:r>
      <w:r w:rsidRPr="00655C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разі перегляду тарифів до граничного рівня – близько 103 млн грн за опалювальний сезон 2019-2020 років. Крім того, залишається не визнаною та не компенсованою р</w:t>
      </w:r>
      <w:r w:rsidRPr="009541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озрахункова різниця в тарифах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підприємства, що</w:t>
      </w:r>
      <w:r w:rsidRPr="009541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C31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початок 2019 року</w:t>
      </w:r>
      <w:r w:rsidR="00CC311E" w:rsidRPr="009541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541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склада</w:t>
      </w:r>
      <w:r w:rsidR="00CC31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</w:t>
      </w:r>
      <w:r w:rsidRPr="009541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211 млн грн, в тому числі по населенню – 142,9 млн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грн.</w:t>
      </w:r>
    </w:p>
    <w:p w:rsidR="002C2980" w:rsidRPr="00206B93" w:rsidRDefault="002C2980" w:rsidP="002C2980">
      <w:pPr>
        <w:pStyle w:val="ae"/>
        <w:spacing w:after="0"/>
        <w:ind w:firstLine="567"/>
        <w:jc w:val="both"/>
        <w:rPr>
          <w:spacing w:val="-1"/>
          <w:sz w:val="4"/>
          <w:szCs w:val="4"/>
          <w:lang w:val="uk-UA"/>
        </w:rPr>
      </w:pPr>
    </w:p>
    <w:p w:rsidR="002C2980" w:rsidRPr="00D44FF9" w:rsidRDefault="002C2980" w:rsidP="002C2980">
      <w:pPr>
        <w:pStyle w:val="ae"/>
        <w:spacing w:after="0"/>
        <w:ind w:firstLine="567"/>
        <w:jc w:val="both"/>
        <w:rPr>
          <w:sz w:val="28"/>
          <w:szCs w:val="28"/>
          <w:lang w:val="uk-UA"/>
        </w:rPr>
      </w:pPr>
      <w:r w:rsidRPr="00D44FF9">
        <w:rPr>
          <w:spacing w:val="-1"/>
          <w:sz w:val="28"/>
          <w:szCs w:val="28"/>
          <w:lang w:val="uk-UA"/>
        </w:rPr>
        <w:t xml:space="preserve">Враховуючи викладене </w:t>
      </w:r>
      <w:r w:rsidRPr="00D44FF9">
        <w:rPr>
          <w:sz w:val="28"/>
          <w:szCs w:val="28"/>
          <w:lang w:val="uk-UA"/>
        </w:rPr>
        <w:t>вище</w:t>
      </w:r>
      <w:r w:rsidRPr="00D44FF9">
        <w:rPr>
          <w:spacing w:val="-1"/>
          <w:sz w:val="28"/>
          <w:szCs w:val="28"/>
          <w:lang w:val="uk-UA"/>
        </w:rPr>
        <w:t xml:space="preserve">, </w:t>
      </w:r>
      <w:r w:rsidR="00AE748D">
        <w:rPr>
          <w:color w:val="000000"/>
          <w:sz w:val="28"/>
          <w:szCs w:val="28"/>
          <w:lang w:val="uk-UA"/>
        </w:rPr>
        <w:t>для</w:t>
      </w:r>
      <w:r w:rsidRPr="00D44FF9">
        <w:rPr>
          <w:spacing w:val="-1"/>
          <w:sz w:val="28"/>
          <w:szCs w:val="28"/>
          <w:lang w:val="uk-UA"/>
        </w:rPr>
        <w:t xml:space="preserve"> </w:t>
      </w:r>
      <w:r w:rsidR="00AE748D">
        <w:rPr>
          <w:spacing w:val="-1"/>
          <w:sz w:val="28"/>
          <w:szCs w:val="28"/>
          <w:lang w:val="uk-UA"/>
        </w:rPr>
        <w:t>з</w:t>
      </w:r>
      <w:r w:rsidR="00AE748D" w:rsidRPr="00D44FF9">
        <w:rPr>
          <w:spacing w:val="-1"/>
          <w:sz w:val="28"/>
          <w:szCs w:val="28"/>
          <w:lang w:val="uk-UA"/>
        </w:rPr>
        <w:t>абезпечення своєчасного початку та нормального проходження опалювального сезону 2019-2</w:t>
      </w:r>
      <w:r w:rsidR="00AE748D">
        <w:rPr>
          <w:spacing w:val="-1"/>
          <w:sz w:val="28"/>
          <w:szCs w:val="28"/>
          <w:lang w:val="uk-UA"/>
        </w:rPr>
        <w:t>0</w:t>
      </w:r>
      <w:r w:rsidR="00AE748D" w:rsidRPr="00D44FF9">
        <w:rPr>
          <w:spacing w:val="-1"/>
          <w:sz w:val="28"/>
          <w:szCs w:val="28"/>
          <w:lang w:val="uk-UA"/>
        </w:rPr>
        <w:t>20 років</w:t>
      </w:r>
      <w:r w:rsidR="00AE748D">
        <w:rPr>
          <w:spacing w:val="-1"/>
          <w:sz w:val="28"/>
          <w:szCs w:val="28"/>
          <w:lang w:val="uk-UA"/>
        </w:rPr>
        <w:t>,</w:t>
      </w:r>
      <w:r w:rsidR="00AE748D" w:rsidRPr="00D44FF9">
        <w:rPr>
          <w:spacing w:val="-1"/>
          <w:sz w:val="28"/>
          <w:szCs w:val="28"/>
          <w:lang w:val="uk-UA"/>
        </w:rPr>
        <w:t xml:space="preserve"> </w:t>
      </w:r>
      <w:r w:rsidRPr="00D44FF9">
        <w:rPr>
          <w:spacing w:val="-1"/>
          <w:sz w:val="28"/>
          <w:szCs w:val="28"/>
          <w:lang w:val="uk-UA"/>
        </w:rPr>
        <w:t xml:space="preserve">уникнення негативних соціальних наслідків та непоправного впливу на діяльність підприємств теплогенерації, </w:t>
      </w:r>
      <w:r w:rsidRPr="00D44FF9">
        <w:rPr>
          <w:sz w:val="28"/>
          <w:szCs w:val="28"/>
          <w:lang w:val="uk-UA" w:eastAsia="zh-TW"/>
        </w:rPr>
        <w:t>просимо</w:t>
      </w:r>
      <w:r>
        <w:rPr>
          <w:sz w:val="28"/>
          <w:szCs w:val="28"/>
          <w:lang w:val="uk-UA"/>
        </w:rPr>
        <w:t xml:space="preserve"> терміново вжити заходи щодо</w:t>
      </w:r>
      <w:r w:rsidRPr="00D44FF9">
        <w:rPr>
          <w:sz w:val="28"/>
          <w:szCs w:val="28"/>
          <w:lang w:val="uk-UA"/>
        </w:rPr>
        <w:t xml:space="preserve">: </w:t>
      </w:r>
    </w:p>
    <w:p w:rsidR="002C2980" w:rsidRDefault="002C2980" w:rsidP="002C2980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1) </w:t>
      </w:r>
      <w:r w:rsidR="00F743D2" w:rsidRPr="00F743D2">
        <w:rPr>
          <w:sz w:val="28"/>
          <w:szCs w:val="28"/>
          <w:lang w:val="uk-UA"/>
        </w:rPr>
        <w:t>внесення змін до п.11 Положення №</w:t>
      </w:r>
      <w:r w:rsidR="00F743D2" w:rsidRPr="00DE1991">
        <w:rPr>
          <w:sz w:val="28"/>
          <w:szCs w:val="28"/>
        </w:rPr>
        <w:t> </w:t>
      </w:r>
      <w:r w:rsidR="00F743D2" w:rsidRPr="00F743D2">
        <w:rPr>
          <w:sz w:val="28"/>
          <w:szCs w:val="28"/>
          <w:lang w:val="uk-UA"/>
        </w:rPr>
        <w:t>867 в частині визначення умови для отримання права на придбання природного газу – досягнення станом на 23 число місяця, що передує місяцю постачання природного газу, рівня розрахунків виробника теплової енергії (без урахування штрафних санкцій) з урахуванням суми нарахованих та неперерахованих пільг і субсидій за усіма укладеними з АТ НАК «Нафтогаз України» договорами про постачання природного газу (купівлі-продажу, про закупівлю, відступлення права вимоги тощо) не нижче 82 відсотків;</w:t>
      </w:r>
    </w:p>
    <w:p w:rsidR="00F743D2" w:rsidRDefault="002C2980" w:rsidP="002C29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F743D2" w:rsidRPr="004A07BD">
        <w:rPr>
          <w:sz w:val="28"/>
          <w:szCs w:val="28"/>
          <w:lang w:val="uk-UA"/>
        </w:rPr>
        <w:t>недопущення зростання ціни на газ, який використовується виробниками теплової енергії для постачання теплової енергії і гарячої води, особливо на потреби населення</w:t>
      </w:r>
      <w:r w:rsidR="00F743D2">
        <w:rPr>
          <w:sz w:val="28"/>
          <w:szCs w:val="28"/>
          <w:shd w:val="clear" w:color="auto" w:fill="FFFFFF"/>
          <w:lang w:val="uk-UA"/>
        </w:rPr>
        <w:t>;</w:t>
      </w:r>
    </w:p>
    <w:p w:rsidR="00F743D2" w:rsidRDefault="00505BE3" w:rsidP="00F743D2">
      <w:pPr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</w:t>
      </w:r>
      <w:r w:rsidR="002C2980">
        <w:rPr>
          <w:spacing w:val="-1"/>
          <w:sz w:val="28"/>
          <w:szCs w:val="28"/>
          <w:lang w:val="uk-UA"/>
        </w:rPr>
        <w:t xml:space="preserve">) </w:t>
      </w:r>
      <w:r w:rsidR="00F743D2" w:rsidRPr="00DE1991">
        <w:rPr>
          <w:spacing w:val="-1"/>
          <w:sz w:val="28"/>
          <w:szCs w:val="28"/>
          <w:lang w:val="uk-UA"/>
        </w:rPr>
        <w:t xml:space="preserve">надання офіційних роз’яснень </w:t>
      </w:r>
      <w:r w:rsidR="00F743D2">
        <w:rPr>
          <w:spacing w:val="-1"/>
          <w:sz w:val="28"/>
          <w:szCs w:val="28"/>
          <w:lang w:val="uk-UA"/>
        </w:rPr>
        <w:t>стосовно</w:t>
      </w:r>
      <w:r w:rsidR="00F743D2" w:rsidRPr="00DE1991">
        <w:rPr>
          <w:spacing w:val="-1"/>
          <w:sz w:val="28"/>
          <w:szCs w:val="28"/>
          <w:lang w:val="uk-UA"/>
        </w:rPr>
        <w:t xml:space="preserve"> порядку виконання/застосування </w:t>
      </w:r>
      <w:r w:rsidR="00F743D2" w:rsidRPr="00DE1991">
        <w:rPr>
          <w:sz w:val="28"/>
          <w:szCs w:val="28"/>
          <w:lang w:val="uk-UA"/>
        </w:rPr>
        <w:t>Постанови №</w:t>
      </w:r>
      <w:r w:rsidR="00F743D2" w:rsidRPr="00DE1991">
        <w:rPr>
          <w:sz w:val="28"/>
          <w:szCs w:val="28"/>
        </w:rPr>
        <w:t> </w:t>
      </w:r>
      <w:r w:rsidR="00F743D2" w:rsidRPr="00DE1991">
        <w:rPr>
          <w:sz w:val="28"/>
          <w:szCs w:val="28"/>
          <w:lang w:val="uk-UA"/>
        </w:rPr>
        <w:t xml:space="preserve">560 </w:t>
      </w:r>
      <w:r w:rsidR="00F743D2">
        <w:rPr>
          <w:sz w:val="28"/>
          <w:szCs w:val="28"/>
          <w:lang w:val="uk-UA"/>
        </w:rPr>
        <w:t>НКРЕКП та органами місцевого самоврядування міст - обласних центрів;</w:t>
      </w:r>
    </w:p>
    <w:p w:rsidR="002C2980" w:rsidRDefault="00505BE3" w:rsidP="002C2980">
      <w:pPr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2C2980">
        <w:rPr>
          <w:spacing w:val="-1"/>
          <w:sz w:val="28"/>
          <w:szCs w:val="28"/>
          <w:lang w:val="uk-UA"/>
        </w:rPr>
        <w:t xml:space="preserve">) </w:t>
      </w:r>
      <w:r w:rsidR="00F743D2">
        <w:rPr>
          <w:sz w:val="28"/>
          <w:szCs w:val="28"/>
          <w:lang w:val="uk-UA"/>
        </w:rPr>
        <w:t>розробки нормативно-правової бази та виділення відповідного фінансування н</w:t>
      </w:r>
      <w:r w:rsidR="00F743D2" w:rsidRPr="00DE1991">
        <w:rPr>
          <w:sz w:val="28"/>
          <w:szCs w:val="28"/>
          <w:lang w:val="uk-UA"/>
        </w:rPr>
        <w:t>а запровадження механізму відшкодування очікуван</w:t>
      </w:r>
      <w:r w:rsidR="00F743D2">
        <w:rPr>
          <w:sz w:val="28"/>
          <w:szCs w:val="28"/>
          <w:lang w:val="uk-UA"/>
        </w:rPr>
        <w:t>их збитків/</w:t>
      </w:r>
      <w:r w:rsidR="00F743D2" w:rsidRPr="00DE1991">
        <w:rPr>
          <w:sz w:val="28"/>
          <w:szCs w:val="28"/>
          <w:lang w:val="uk-UA"/>
        </w:rPr>
        <w:t>різниці в тарифах</w:t>
      </w:r>
      <w:r w:rsidR="00F743D2">
        <w:rPr>
          <w:sz w:val="28"/>
          <w:szCs w:val="28"/>
          <w:lang w:val="uk-UA"/>
        </w:rPr>
        <w:t xml:space="preserve"> у разі встановлення тарифів на постачання теплової енергії та гарячої води у менших, ніж економічно обґрунтовані, розмірах</w:t>
      </w:r>
      <w:r w:rsidR="00F743D2" w:rsidRPr="00DE1991">
        <w:rPr>
          <w:sz w:val="28"/>
          <w:szCs w:val="28"/>
          <w:lang w:val="uk-UA"/>
        </w:rPr>
        <w:t>;</w:t>
      </w:r>
    </w:p>
    <w:p w:rsidR="002C2980" w:rsidRDefault="00A3216A" w:rsidP="002C2980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2C2980">
        <w:rPr>
          <w:spacing w:val="-1"/>
          <w:sz w:val="28"/>
          <w:szCs w:val="28"/>
          <w:lang w:val="uk-UA"/>
        </w:rPr>
        <w:t xml:space="preserve">) </w:t>
      </w:r>
      <w:r w:rsidR="00F743D2" w:rsidRPr="00DE1991">
        <w:rPr>
          <w:sz w:val="28"/>
          <w:szCs w:val="28"/>
          <w:lang w:val="uk-UA"/>
        </w:rPr>
        <w:t>визнання на законодавчому рівні наявної з 2016 року невідповідності тарифів на послуги з теплопостачання фактичним витратам підприємств (різ</w:t>
      </w:r>
      <w:r w:rsidR="00F743D2">
        <w:rPr>
          <w:sz w:val="28"/>
          <w:szCs w:val="28"/>
          <w:lang w:val="uk-UA"/>
        </w:rPr>
        <w:t>ниці в тарифах) та врахування її</w:t>
      </w:r>
      <w:r w:rsidR="00F743D2" w:rsidRPr="00DE1991">
        <w:rPr>
          <w:sz w:val="28"/>
          <w:szCs w:val="28"/>
          <w:lang w:val="uk-UA"/>
        </w:rPr>
        <w:t xml:space="preserve"> при розрахунку рівня оплати виробниками теплової енергії </w:t>
      </w:r>
      <w:r w:rsidR="00F743D2" w:rsidRPr="00DE1991">
        <w:rPr>
          <w:sz w:val="28"/>
          <w:szCs w:val="28"/>
          <w:shd w:val="clear" w:color="auto" w:fill="FFFFFF"/>
          <w:lang w:val="uk-UA"/>
        </w:rPr>
        <w:t>за природний газ;</w:t>
      </w:r>
    </w:p>
    <w:p w:rsidR="002C2980" w:rsidRPr="004A07BD" w:rsidRDefault="00A3216A" w:rsidP="002C2980">
      <w:pPr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="002C2980">
        <w:rPr>
          <w:sz w:val="28"/>
          <w:szCs w:val="28"/>
          <w:shd w:val="clear" w:color="auto" w:fill="FFFFFF"/>
          <w:lang w:val="uk-UA"/>
        </w:rPr>
        <w:t>)</w:t>
      </w:r>
      <w:r w:rsidR="002C2980" w:rsidRPr="004A07BD">
        <w:rPr>
          <w:sz w:val="28"/>
          <w:szCs w:val="28"/>
          <w:shd w:val="clear" w:color="auto" w:fill="FFFFFF"/>
          <w:lang w:val="uk-UA"/>
        </w:rPr>
        <w:t xml:space="preserve"> затвердження Кабінетом Міністрів України </w:t>
      </w:r>
      <w:r w:rsidR="002C2980">
        <w:rPr>
          <w:sz w:val="28"/>
          <w:szCs w:val="28"/>
          <w:shd w:val="clear" w:color="auto" w:fill="FFFFFF"/>
          <w:lang w:val="uk-UA"/>
        </w:rPr>
        <w:t>правил</w:t>
      </w:r>
      <w:r w:rsidR="002C2980" w:rsidRPr="004A07BD">
        <w:rPr>
          <w:sz w:val="28"/>
          <w:szCs w:val="28"/>
          <w:shd w:val="clear" w:color="auto" w:fill="FFFFFF"/>
          <w:lang w:val="uk-UA"/>
        </w:rPr>
        <w:t xml:space="preserve"> </w:t>
      </w:r>
      <w:r w:rsidR="002C2980">
        <w:rPr>
          <w:sz w:val="28"/>
          <w:szCs w:val="28"/>
          <w:shd w:val="clear" w:color="auto" w:fill="FFFFFF"/>
          <w:lang w:val="uk-UA"/>
        </w:rPr>
        <w:t>та</w:t>
      </w:r>
      <w:r w:rsidR="002C2980" w:rsidRPr="004A07BD">
        <w:rPr>
          <w:sz w:val="28"/>
          <w:szCs w:val="28"/>
          <w:shd w:val="clear" w:color="auto" w:fill="FFFFFF"/>
          <w:lang w:val="uk-UA"/>
        </w:rPr>
        <w:t xml:space="preserve"> типових договорів на надання послуг з постачання теплової енергії та гарячої води</w:t>
      </w:r>
      <w:r w:rsidR="002C2980">
        <w:rPr>
          <w:sz w:val="28"/>
          <w:szCs w:val="28"/>
          <w:shd w:val="clear" w:color="auto" w:fill="FFFFFF"/>
          <w:lang w:val="uk-UA"/>
        </w:rPr>
        <w:t>.</w:t>
      </w:r>
    </w:p>
    <w:p w:rsidR="00AD3462" w:rsidRDefault="00AD3462" w:rsidP="00FB0D0B">
      <w:pPr>
        <w:shd w:val="clear" w:color="auto" w:fill="FFFFFF"/>
        <w:spacing w:before="115"/>
        <w:ind w:left="1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Наголошуємо, що якнайшвидше вирішення зазначених вище проблем сприятиме стабілізації роботи </w:t>
      </w:r>
      <w:r w:rsidR="00EC7DBB">
        <w:rPr>
          <w:sz w:val="28"/>
          <w:szCs w:val="28"/>
          <w:lang w:val="uk-UA"/>
        </w:rPr>
        <w:t xml:space="preserve">теплопостачальних </w:t>
      </w:r>
      <w:r w:rsidRPr="00D44FF9">
        <w:rPr>
          <w:sz w:val="28"/>
          <w:szCs w:val="28"/>
          <w:lang w:val="uk-UA"/>
        </w:rPr>
        <w:t xml:space="preserve">підприємств </w:t>
      </w:r>
      <w:r>
        <w:rPr>
          <w:sz w:val="28"/>
          <w:szCs w:val="28"/>
          <w:lang w:val="uk-UA"/>
        </w:rPr>
        <w:t>та</w:t>
      </w:r>
      <w:r w:rsidR="00EC7DBB">
        <w:rPr>
          <w:sz w:val="28"/>
          <w:szCs w:val="28"/>
          <w:lang w:val="uk-UA"/>
        </w:rPr>
        <w:t xml:space="preserve">, як наслідок, </w:t>
      </w:r>
      <w:r>
        <w:rPr>
          <w:sz w:val="28"/>
          <w:szCs w:val="28"/>
          <w:lang w:val="uk-UA"/>
        </w:rPr>
        <w:t xml:space="preserve"> </w:t>
      </w:r>
      <w:r w:rsidR="00EC7DBB">
        <w:rPr>
          <w:sz w:val="28"/>
          <w:szCs w:val="28"/>
          <w:lang w:val="uk-UA"/>
        </w:rPr>
        <w:t xml:space="preserve">якісному </w:t>
      </w:r>
      <w:r w:rsidRPr="00D44FF9">
        <w:rPr>
          <w:sz w:val="28"/>
          <w:szCs w:val="28"/>
          <w:lang w:val="uk-UA"/>
        </w:rPr>
        <w:t>життєзабезпеченн</w:t>
      </w:r>
      <w:r w:rsidR="00A44C74">
        <w:rPr>
          <w:sz w:val="28"/>
          <w:szCs w:val="28"/>
          <w:lang w:val="uk-UA"/>
        </w:rPr>
        <w:t>ю</w:t>
      </w:r>
      <w:r w:rsidRPr="00D44FF9">
        <w:rPr>
          <w:sz w:val="28"/>
          <w:szCs w:val="28"/>
          <w:lang w:val="uk-UA"/>
        </w:rPr>
        <w:t xml:space="preserve"> міст</w:t>
      </w:r>
      <w:r w:rsidR="008332A9">
        <w:rPr>
          <w:sz w:val="28"/>
          <w:szCs w:val="28"/>
          <w:lang w:val="uk-UA"/>
        </w:rPr>
        <w:t xml:space="preserve"> в опалювальний період</w:t>
      </w:r>
      <w:r w:rsidR="00EC7DBB">
        <w:rPr>
          <w:sz w:val="28"/>
          <w:szCs w:val="28"/>
          <w:lang w:val="uk-UA"/>
        </w:rPr>
        <w:t xml:space="preserve">. </w:t>
      </w:r>
    </w:p>
    <w:p w:rsidR="005A6F32" w:rsidRPr="00116186" w:rsidRDefault="005A6F32" w:rsidP="005A6F32">
      <w:pPr>
        <w:ind w:left="4395" w:right="68"/>
        <w:rPr>
          <w:sz w:val="28"/>
          <w:szCs w:val="28"/>
          <w:lang w:val="uk-UA"/>
        </w:rPr>
      </w:pPr>
    </w:p>
    <w:p w:rsidR="00392036" w:rsidRDefault="005A6F32" w:rsidP="005A6F32">
      <w:pPr>
        <w:ind w:left="4395" w:right="68"/>
        <w:rPr>
          <w:sz w:val="28"/>
          <w:szCs w:val="28"/>
          <w:lang w:val="uk-UA"/>
        </w:rPr>
      </w:pPr>
      <w:r w:rsidRPr="00D44FF9">
        <w:rPr>
          <w:sz w:val="28"/>
          <w:szCs w:val="28"/>
          <w:lang w:val="uk-UA"/>
        </w:rPr>
        <w:t xml:space="preserve">Звернення прийняте Чернігівською міською радою </w:t>
      </w:r>
      <w:r w:rsidR="004D6046">
        <w:rPr>
          <w:sz w:val="28"/>
          <w:szCs w:val="28"/>
          <w:lang w:val="uk-UA"/>
        </w:rPr>
        <w:t>29</w:t>
      </w:r>
      <w:r w:rsidR="002A0D93" w:rsidRPr="00D44FF9">
        <w:rPr>
          <w:sz w:val="28"/>
          <w:szCs w:val="28"/>
          <w:lang w:val="uk-UA"/>
        </w:rPr>
        <w:t xml:space="preserve"> </w:t>
      </w:r>
      <w:r w:rsidR="004D6046">
        <w:rPr>
          <w:sz w:val="28"/>
          <w:szCs w:val="28"/>
          <w:lang w:val="uk-UA"/>
        </w:rPr>
        <w:t>серпня</w:t>
      </w:r>
      <w:r w:rsidR="000B356B" w:rsidRPr="00D44FF9">
        <w:rPr>
          <w:sz w:val="28"/>
          <w:szCs w:val="28"/>
          <w:lang w:val="uk-UA"/>
        </w:rPr>
        <w:t xml:space="preserve"> </w:t>
      </w:r>
      <w:r w:rsidRPr="00D44FF9">
        <w:rPr>
          <w:sz w:val="28"/>
          <w:szCs w:val="28"/>
          <w:lang w:val="uk-UA"/>
        </w:rPr>
        <w:t xml:space="preserve">2019 року </w:t>
      </w:r>
    </w:p>
    <w:p w:rsidR="0025319D" w:rsidRPr="005A3C76" w:rsidRDefault="005A6F32" w:rsidP="003823AE">
      <w:pPr>
        <w:ind w:left="4395" w:right="68"/>
        <w:rPr>
          <w:sz w:val="28"/>
          <w:szCs w:val="28"/>
        </w:rPr>
      </w:pPr>
      <w:r w:rsidRPr="00D44FF9">
        <w:rPr>
          <w:sz w:val="28"/>
          <w:szCs w:val="28"/>
          <w:lang w:val="uk-UA"/>
        </w:rPr>
        <w:t xml:space="preserve">на </w:t>
      </w:r>
      <w:r w:rsidR="00E9761B" w:rsidRPr="00D44FF9">
        <w:rPr>
          <w:sz w:val="28"/>
          <w:szCs w:val="28"/>
          <w:lang w:val="uk-UA"/>
        </w:rPr>
        <w:t>4</w:t>
      </w:r>
      <w:r w:rsidR="00AE748D">
        <w:rPr>
          <w:sz w:val="28"/>
          <w:szCs w:val="28"/>
          <w:lang w:val="uk-UA"/>
        </w:rPr>
        <w:t>4</w:t>
      </w:r>
      <w:r w:rsidRPr="00D44FF9">
        <w:rPr>
          <w:sz w:val="28"/>
          <w:szCs w:val="28"/>
          <w:lang w:val="uk-UA"/>
        </w:rPr>
        <w:t xml:space="preserve"> сесії 7 скликання</w:t>
      </w:r>
    </w:p>
    <w:sectPr w:rsidR="0025319D" w:rsidRPr="005A3C76" w:rsidSect="003823AE">
      <w:headerReference w:type="even" r:id="rId8"/>
      <w:pgSz w:w="11906" w:h="16838"/>
      <w:pgMar w:top="851" w:right="567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29" w:rsidRDefault="00922729">
      <w:r>
        <w:separator/>
      </w:r>
    </w:p>
  </w:endnote>
  <w:endnote w:type="continuationSeparator" w:id="1">
    <w:p w:rsidR="00922729" w:rsidRDefault="0092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29" w:rsidRDefault="00922729">
      <w:r>
        <w:separator/>
      </w:r>
    </w:p>
  </w:footnote>
  <w:footnote w:type="continuationSeparator" w:id="1">
    <w:p w:rsidR="00922729" w:rsidRDefault="00922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C1" w:rsidRDefault="00DC529E" w:rsidP="0027545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6C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6CC1" w:rsidRDefault="00A86C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AAE"/>
    <w:multiLevelType w:val="hybridMultilevel"/>
    <w:tmpl w:val="342E3D30"/>
    <w:lvl w:ilvl="0" w:tplc="FCA633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7E5DE2"/>
    <w:multiLevelType w:val="hybridMultilevel"/>
    <w:tmpl w:val="133A1B3A"/>
    <w:lvl w:ilvl="0" w:tplc="6F546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95679"/>
    <w:multiLevelType w:val="hybridMultilevel"/>
    <w:tmpl w:val="62D01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B3D21CF"/>
    <w:multiLevelType w:val="hybridMultilevel"/>
    <w:tmpl w:val="3AD08C06"/>
    <w:lvl w:ilvl="0" w:tplc="3690C3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7DD"/>
    <w:multiLevelType w:val="multilevel"/>
    <w:tmpl w:val="8FAA05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84D5D1A"/>
    <w:multiLevelType w:val="hybridMultilevel"/>
    <w:tmpl w:val="EA0216CA"/>
    <w:lvl w:ilvl="0" w:tplc="4F562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471DC"/>
    <w:multiLevelType w:val="multilevel"/>
    <w:tmpl w:val="6A48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95CA3"/>
    <w:multiLevelType w:val="hybridMultilevel"/>
    <w:tmpl w:val="57663768"/>
    <w:lvl w:ilvl="0" w:tplc="00AE6B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1180"/>
        </w:tabs>
        <w:ind w:left="1180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FD07B8E"/>
    <w:multiLevelType w:val="hybridMultilevel"/>
    <w:tmpl w:val="3CF87E7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22489"/>
    <w:multiLevelType w:val="hybridMultilevel"/>
    <w:tmpl w:val="D8FE2C78"/>
    <w:lvl w:ilvl="0" w:tplc="83CCC1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E1E382B"/>
    <w:multiLevelType w:val="hybridMultilevel"/>
    <w:tmpl w:val="094E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6C0772"/>
    <w:multiLevelType w:val="hybridMultilevel"/>
    <w:tmpl w:val="204A40C2"/>
    <w:lvl w:ilvl="0" w:tplc="8C2E2600">
      <w:start w:val="1"/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56F84"/>
    <w:rsid w:val="00000761"/>
    <w:rsid w:val="00015C78"/>
    <w:rsid w:val="00031A22"/>
    <w:rsid w:val="00031EF6"/>
    <w:rsid w:val="00042482"/>
    <w:rsid w:val="00042CA7"/>
    <w:rsid w:val="000459F9"/>
    <w:rsid w:val="00046F03"/>
    <w:rsid w:val="00046F28"/>
    <w:rsid w:val="000549EF"/>
    <w:rsid w:val="00055026"/>
    <w:rsid w:val="00073C37"/>
    <w:rsid w:val="00074403"/>
    <w:rsid w:val="00075576"/>
    <w:rsid w:val="00076CD0"/>
    <w:rsid w:val="00081756"/>
    <w:rsid w:val="000826C0"/>
    <w:rsid w:val="00082A15"/>
    <w:rsid w:val="00083D7F"/>
    <w:rsid w:val="00083D91"/>
    <w:rsid w:val="00084490"/>
    <w:rsid w:val="000849B7"/>
    <w:rsid w:val="00084B69"/>
    <w:rsid w:val="000856D1"/>
    <w:rsid w:val="000864FA"/>
    <w:rsid w:val="00091270"/>
    <w:rsid w:val="00093A4D"/>
    <w:rsid w:val="00094C67"/>
    <w:rsid w:val="00094D08"/>
    <w:rsid w:val="000956F8"/>
    <w:rsid w:val="00095D72"/>
    <w:rsid w:val="000976FA"/>
    <w:rsid w:val="000A2D00"/>
    <w:rsid w:val="000A2F90"/>
    <w:rsid w:val="000A3939"/>
    <w:rsid w:val="000A5F51"/>
    <w:rsid w:val="000A6A60"/>
    <w:rsid w:val="000B356B"/>
    <w:rsid w:val="000B38BE"/>
    <w:rsid w:val="000B4030"/>
    <w:rsid w:val="000B7584"/>
    <w:rsid w:val="000C323D"/>
    <w:rsid w:val="000C3928"/>
    <w:rsid w:val="000C3A02"/>
    <w:rsid w:val="000C661F"/>
    <w:rsid w:val="000C7793"/>
    <w:rsid w:val="000D0E1B"/>
    <w:rsid w:val="000D2228"/>
    <w:rsid w:val="000D371F"/>
    <w:rsid w:val="000D3F9A"/>
    <w:rsid w:val="000E523D"/>
    <w:rsid w:val="000E68A6"/>
    <w:rsid w:val="000E6A70"/>
    <w:rsid w:val="000F2BA7"/>
    <w:rsid w:val="000F7F6A"/>
    <w:rsid w:val="0010234E"/>
    <w:rsid w:val="00105326"/>
    <w:rsid w:val="001054DC"/>
    <w:rsid w:val="00107F9C"/>
    <w:rsid w:val="00112968"/>
    <w:rsid w:val="00116186"/>
    <w:rsid w:val="00117B7A"/>
    <w:rsid w:val="00117CCC"/>
    <w:rsid w:val="0012054E"/>
    <w:rsid w:val="00124121"/>
    <w:rsid w:val="001264A5"/>
    <w:rsid w:val="0012706C"/>
    <w:rsid w:val="00127AB7"/>
    <w:rsid w:val="00127D3D"/>
    <w:rsid w:val="00127D86"/>
    <w:rsid w:val="00130E54"/>
    <w:rsid w:val="001323C0"/>
    <w:rsid w:val="00132944"/>
    <w:rsid w:val="00143914"/>
    <w:rsid w:val="001472AE"/>
    <w:rsid w:val="00151CAE"/>
    <w:rsid w:val="001531DC"/>
    <w:rsid w:val="0016219C"/>
    <w:rsid w:val="00163DDF"/>
    <w:rsid w:val="00166360"/>
    <w:rsid w:val="0017429C"/>
    <w:rsid w:val="00182CB4"/>
    <w:rsid w:val="00182FEE"/>
    <w:rsid w:val="0018312C"/>
    <w:rsid w:val="00183F91"/>
    <w:rsid w:val="00185220"/>
    <w:rsid w:val="001902C3"/>
    <w:rsid w:val="001904A1"/>
    <w:rsid w:val="00190735"/>
    <w:rsid w:val="00193241"/>
    <w:rsid w:val="001959E3"/>
    <w:rsid w:val="00196569"/>
    <w:rsid w:val="00196F80"/>
    <w:rsid w:val="00196FF1"/>
    <w:rsid w:val="001A0E26"/>
    <w:rsid w:val="001A5DF6"/>
    <w:rsid w:val="001A7809"/>
    <w:rsid w:val="001B128F"/>
    <w:rsid w:val="001C47A7"/>
    <w:rsid w:val="001C5B43"/>
    <w:rsid w:val="001C5CF4"/>
    <w:rsid w:val="001D4B9E"/>
    <w:rsid w:val="001D610B"/>
    <w:rsid w:val="001E0622"/>
    <w:rsid w:val="001E2CDE"/>
    <w:rsid w:val="001E53E5"/>
    <w:rsid w:val="001F0B17"/>
    <w:rsid w:val="001F1505"/>
    <w:rsid w:val="001F3DFD"/>
    <w:rsid w:val="001F56E0"/>
    <w:rsid w:val="00201C7F"/>
    <w:rsid w:val="00205006"/>
    <w:rsid w:val="002110B1"/>
    <w:rsid w:val="0021150D"/>
    <w:rsid w:val="00211BC2"/>
    <w:rsid w:val="00215CE6"/>
    <w:rsid w:val="00216B3D"/>
    <w:rsid w:val="00224CCF"/>
    <w:rsid w:val="00226A5D"/>
    <w:rsid w:val="00227C93"/>
    <w:rsid w:val="00231A41"/>
    <w:rsid w:val="002351F0"/>
    <w:rsid w:val="002406B0"/>
    <w:rsid w:val="0024178C"/>
    <w:rsid w:val="00245413"/>
    <w:rsid w:val="00245BD5"/>
    <w:rsid w:val="00250F70"/>
    <w:rsid w:val="0025319D"/>
    <w:rsid w:val="002534D3"/>
    <w:rsid w:val="00255F43"/>
    <w:rsid w:val="00256C37"/>
    <w:rsid w:val="00256DBD"/>
    <w:rsid w:val="0026068F"/>
    <w:rsid w:val="00270B7B"/>
    <w:rsid w:val="002712A1"/>
    <w:rsid w:val="00275451"/>
    <w:rsid w:val="00277FFA"/>
    <w:rsid w:val="0029215C"/>
    <w:rsid w:val="00295B7E"/>
    <w:rsid w:val="002A0D93"/>
    <w:rsid w:val="002A25FC"/>
    <w:rsid w:val="002A58B5"/>
    <w:rsid w:val="002B0FDE"/>
    <w:rsid w:val="002B39C1"/>
    <w:rsid w:val="002B4721"/>
    <w:rsid w:val="002C1109"/>
    <w:rsid w:val="002C2980"/>
    <w:rsid w:val="002C3EEC"/>
    <w:rsid w:val="002C5DAA"/>
    <w:rsid w:val="002D6003"/>
    <w:rsid w:val="002D65E9"/>
    <w:rsid w:val="002E5221"/>
    <w:rsid w:val="002F0011"/>
    <w:rsid w:val="002F0236"/>
    <w:rsid w:val="002F094B"/>
    <w:rsid w:val="002F4621"/>
    <w:rsid w:val="002F57F6"/>
    <w:rsid w:val="00300994"/>
    <w:rsid w:val="00300BBA"/>
    <w:rsid w:val="0030297B"/>
    <w:rsid w:val="00307B35"/>
    <w:rsid w:val="003134BD"/>
    <w:rsid w:val="0031468C"/>
    <w:rsid w:val="0031601A"/>
    <w:rsid w:val="003200AC"/>
    <w:rsid w:val="003233B4"/>
    <w:rsid w:val="0033059F"/>
    <w:rsid w:val="00334AB6"/>
    <w:rsid w:val="0033689A"/>
    <w:rsid w:val="0033695C"/>
    <w:rsid w:val="00354D3A"/>
    <w:rsid w:val="00362C6B"/>
    <w:rsid w:val="00373148"/>
    <w:rsid w:val="003749EA"/>
    <w:rsid w:val="003823AE"/>
    <w:rsid w:val="00383D0E"/>
    <w:rsid w:val="003848E2"/>
    <w:rsid w:val="0039162E"/>
    <w:rsid w:val="00392036"/>
    <w:rsid w:val="00394060"/>
    <w:rsid w:val="00395617"/>
    <w:rsid w:val="00395CB3"/>
    <w:rsid w:val="003A0333"/>
    <w:rsid w:val="003A14C9"/>
    <w:rsid w:val="003A5525"/>
    <w:rsid w:val="003A7101"/>
    <w:rsid w:val="003C05A0"/>
    <w:rsid w:val="003C1840"/>
    <w:rsid w:val="003C3DE2"/>
    <w:rsid w:val="003C450E"/>
    <w:rsid w:val="003C76C7"/>
    <w:rsid w:val="003D17A2"/>
    <w:rsid w:val="003D18FA"/>
    <w:rsid w:val="003E009D"/>
    <w:rsid w:val="003E0BEF"/>
    <w:rsid w:val="003E20CB"/>
    <w:rsid w:val="003E3494"/>
    <w:rsid w:val="003E61BD"/>
    <w:rsid w:val="003F0FB5"/>
    <w:rsid w:val="003F161D"/>
    <w:rsid w:val="003F3D30"/>
    <w:rsid w:val="003F57F5"/>
    <w:rsid w:val="003F7059"/>
    <w:rsid w:val="004119EE"/>
    <w:rsid w:val="004324B5"/>
    <w:rsid w:val="00440346"/>
    <w:rsid w:val="004426BE"/>
    <w:rsid w:val="00442981"/>
    <w:rsid w:val="004436E4"/>
    <w:rsid w:val="004446E4"/>
    <w:rsid w:val="00446C00"/>
    <w:rsid w:val="0045354B"/>
    <w:rsid w:val="00454BB0"/>
    <w:rsid w:val="00456FDF"/>
    <w:rsid w:val="0046080C"/>
    <w:rsid w:val="00460A29"/>
    <w:rsid w:val="00466DD7"/>
    <w:rsid w:val="004732AF"/>
    <w:rsid w:val="004835ED"/>
    <w:rsid w:val="00490E34"/>
    <w:rsid w:val="00490EC1"/>
    <w:rsid w:val="00491EB1"/>
    <w:rsid w:val="004922A1"/>
    <w:rsid w:val="00492530"/>
    <w:rsid w:val="004A0890"/>
    <w:rsid w:val="004A27E2"/>
    <w:rsid w:val="004B1D58"/>
    <w:rsid w:val="004B75C3"/>
    <w:rsid w:val="004C1133"/>
    <w:rsid w:val="004C1548"/>
    <w:rsid w:val="004C3B19"/>
    <w:rsid w:val="004D3353"/>
    <w:rsid w:val="004D4259"/>
    <w:rsid w:val="004D6046"/>
    <w:rsid w:val="004D7583"/>
    <w:rsid w:val="004E0DB5"/>
    <w:rsid w:val="004E6892"/>
    <w:rsid w:val="004F1F67"/>
    <w:rsid w:val="004F4A23"/>
    <w:rsid w:val="004F5F39"/>
    <w:rsid w:val="004F6EDE"/>
    <w:rsid w:val="004F739F"/>
    <w:rsid w:val="004F7FF7"/>
    <w:rsid w:val="00500802"/>
    <w:rsid w:val="00500C02"/>
    <w:rsid w:val="00500FC2"/>
    <w:rsid w:val="00503908"/>
    <w:rsid w:val="00505BE3"/>
    <w:rsid w:val="00507901"/>
    <w:rsid w:val="0051163C"/>
    <w:rsid w:val="005118E2"/>
    <w:rsid w:val="005173D1"/>
    <w:rsid w:val="0052274B"/>
    <w:rsid w:val="005232F5"/>
    <w:rsid w:val="0052664F"/>
    <w:rsid w:val="00526CA0"/>
    <w:rsid w:val="00532BC5"/>
    <w:rsid w:val="0054087C"/>
    <w:rsid w:val="0054381B"/>
    <w:rsid w:val="005465ED"/>
    <w:rsid w:val="00547899"/>
    <w:rsid w:val="00555140"/>
    <w:rsid w:val="00556EA2"/>
    <w:rsid w:val="00556F84"/>
    <w:rsid w:val="00565E3E"/>
    <w:rsid w:val="005664D4"/>
    <w:rsid w:val="005701E4"/>
    <w:rsid w:val="00570F30"/>
    <w:rsid w:val="00571949"/>
    <w:rsid w:val="005748C7"/>
    <w:rsid w:val="00574B3C"/>
    <w:rsid w:val="005809A1"/>
    <w:rsid w:val="00593E22"/>
    <w:rsid w:val="005954B8"/>
    <w:rsid w:val="005966BB"/>
    <w:rsid w:val="005A0CE8"/>
    <w:rsid w:val="005A1FA9"/>
    <w:rsid w:val="005A3C76"/>
    <w:rsid w:val="005A567A"/>
    <w:rsid w:val="005A575C"/>
    <w:rsid w:val="005A5DFC"/>
    <w:rsid w:val="005A6F32"/>
    <w:rsid w:val="005A707A"/>
    <w:rsid w:val="005A77D4"/>
    <w:rsid w:val="005B1746"/>
    <w:rsid w:val="005C2FE6"/>
    <w:rsid w:val="005C3CD5"/>
    <w:rsid w:val="005C5127"/>
    <w:rsid w:val="005C67FC"/>
    <w:rsid w:val="005C7DE1"/>
    <w:rsid w:val="005D5A57"/>
    <w:rsid w:val="005E4AD5"/>
    <w:rsid w:val="005F0053"/>
    <w:rsid w:val="005F2B9C"/>
    <w:rsid w:val="005F4816"/>
    <w:rsid w:val="005F604E"/>
    <w:rsid w:val="0060305C"/>
    <w:rsid w:val="0060310E"/>
    <w:rsid w:val="006034CF"/>
    <w:rsid w:val="006039AC"/>
    <w:rsid w:val="006049C3"/>
    <w:rsid w:val="00604FA0"/>
    <w:rsid w:val="00607CD3"/>
    <w:rsid w:val="00610319"/>
    <w:rsid w:val="00614A61"/>
    <w:rsid w:val="00615704"/>
    <w:rsid w:val="00616520"/>
    <w:rsid w:val="00620807"/>
    <w:rsid w:val="00627CF0"/>
    <w:rsid w:val="00635612"/>
    <w:rsid w:val="00635DD6"/>
    <w:rsid w:val="006408BD"/>
    <w:rsid w:val="00643684"/>
    <w:rsid w:val="00644F2F"/>
    <w:rsid w:val="00657317"/>
    <w:rsid w:val="00665387"/>
    <w:rsid w:val="00666C06"/>
    <w:rsid w:val="00674533"/>
    <w:rsid w:val="00674E47"/>
    <w:rsid w:val="00675ED0"/>
    <w:rsid w:val="00680905"/>
    <w:rsid w:val="00680D54"/>
    <w:rsid w:val="0068194A"/>
    <w:rsid w:val="0068458B"/>
    <w:rsid w:val="00685326"/>
    <w:rsid w:val="006966FB"/>
    <w:rsid w:val="006A3457"/>
    <w:rsid w:val="006A5092"/>
    <w:rsid w:val="006A739C"/>
    <w:rsid w:val="006A7C35"/>
    <w:rsid w:val="006B7317"/>
    <w:rsid w:val="006B7710"/>
    <w:rsid w:val="006C14C0"/>
    <w:rsid w:val="006C4696"/>
    <w:rsid w:val="006C6810"/>
    <w:rsid w:val="006D018B"/>
    <w:rsid w:val="006D2A1B"/>
    <w:rsid w:val="006E290D"/>
    <w:rsid w:val="006E5DE2"/>
    <w:rsid w:val="006E6775"/>
    <w:rsid w:val="006E754D"/>
    <w:rsid w:val="006F0624"/>
    <w:rsid w:val="006F32FA"/>
    <w:rsid w:val="00702126"/>
    <w:rsid w:val="0070241F"/>
    <w:rsid w:val="0070400B"/>
    <w:rsid w:val="00704FF7"/>
    <w:rsid w:val="00710E2C"/>
    <w:rsid w:val="00711D1C"/>
    <w:rsid w:val="00712FCA"/>
    <w:rsid w:val="00715D9D"/>
    <w:rsid w:val="00715F43"/>
    <w:rsid w:val="00724770"/>
    <w:rsid w:val="007251F5"/>
    <w:rsid w:val="00725C63"/>
    <w:rsid w:val="007300F8"/>
    <w:rsid w:val="00734CB3"/>
    <w:rsid w:val="00734DEF"/>
    <w:rsid w:val="00737D88"/>
    <w:rsid w:val="007425F5"/>
    <w:rsid w:val="0074290C"/>
    <w:rsid w:val="00742EA5"/>
    <w:rsid w:val="007443CA"/>
    <w:rsid w:val="00751E0F"/>
    <w:rsid w:val="0075252E"/>
    <w:rsid w:val="00760990"/>
    <w:rsid w:val="00770B1A"/>
    <w:rsid w:val="00771AB0"/>
    <w:rsid w:val="007720F8"/>
    <w:rsid w:val="00773398"/>
    <w:rsid w:val="00773A17"/>
    <w:rsid w:val="007753A9"/>
    <w:rsid w:val="007771AF"/>
    <w:rsid w:val="0078050E"/>
    <w:rsid w:val="00780D6E"/>
    <w:rsid w:val="00781711"/>
    <w:rsid w:val="00783435"/>
    <w:rsid w:val="00787F77"/>
    <w:rsid w:val="00791B4F"/>
    <w:rsid w:val="00793B83"/>
    <w:rsid w:val="00794438"/>
    <w:rsid w:val="007A4811"/>
    <w:rsid w:val="007A50DC"/>
    <w:rsid w:val="007A57CB"/>
    <w:rsid w:val="007A63DA"/>
    <w:rsid w:val="007A6B45"/>
    <w:rsid w:val="007B1C9E"/>
    <w:rsid w:val="007B46F8"/>
    <w:rsid w:val="007B702A"/>
    <w:rsid w:val="007C28A6"/>
    <w:rsid w:val="007D37D7"/>
    <w:rsid w:val="007D3B45"/>
    <w:rsid w:val="007D5CDF"/>
    <w:rsid w:val="007D70C1"/>
    <w:rsid w:val="007E4A75"/>
    <w:rsid w:val="007F3A73"/>
    <w:rsid w:val="007F5F0E"/>
    <w:rsid w:val="007F66BB"/>
    <w:rsid w:val="008079FF"/>
    <w:rsid w:val="00810566"/>
    <w:rsid w:val="008161B1"/>
    <w:rsid w:val="0082091A"/>
    <w:rsid w:val="008230E6"/>
    <w:rsid w:val="00823A50"/>
    <w:rsid w:val="008257DF"/>
    <w:rsid w:val="008257E6"/>
    <w:rsid w:val="00826960"/>
    <w:rsid w:val="00830D2D"/>
    <w:rsid w:val="008332A9"/>
    <w:rsid w:val="008337C4"/>
    <w:rsid w:val="00835500"/>
    <w:rsid w:val="00836986"/>
    <w:rsid w:val="00843128"/>
    <w:rsid w:val="008450DA"/>
    <w:rsid w:val="0084735C"/>
    <w:rsid w:val="00855327"/>
    <w:rsid w:val="00857A24"/>
    <w:rsid w:val="00861227"/>
    <w:rsid w:val="008635A8"/>
    <w:rsid w:val="0086693F"/>
    <w:rsid w:val="00867DCE"/>
    <w:rsid w:val="00872EED"/>
    <w:rsid w:val="00877725"/>
    <w:rsid w:val="00877A2E"/>
    <w:rsid w:val="00885A04"/>
    <w:rsid w:val="00886B0C"/>
    <w:rsid w:val="0089033B"/>
    <w:rsid w:val="008917A0"/>
    <w:rsid w:val="008A00B8"/>
    <w:rsid w:val="008A0A61"/>
    <w:rsid w:val="008A1300"/>
    <w:rsid w:val="008A41E8"/>
    <w:rsid w:val="008A5D22"/>
    <w:rsid w:val="008A6104"/>
    <w:rsid w:val="008A62E7"/>
    <w:rsid w:val="008B1715"/>
    <w:rsid w:val="008D3698"/>
    <w:rsid w:val="008E242D"/>
    <w:rsid w:val="008E3DB9"/>
    <w:rsid w:val="008E4808"/>
    <w:rsid w:val="008E5113"/>
    <w:rsid w:val="008F2538"/>
    <w:rsid w:val="0090337E"/>
    <w:rsid w:val="00904230"/>
    <w:rsid w:val="00904294"/>
    <w:rsid w:val="00912077"/>
    <w:rsid w:val="00913503"/>
    <w:rsid w:val="00913FA3"/>
    <w:rsid w:val="00916AEF"/>
    <w:rsid w:val="0092108F"/>
    <w:rsid w:val="00922451"/>
    <w:rsid w:val="00922729"/>
    <w:rsid w:val="00925B10"/>
    <w:rsid w:val="009266C1"/>
    <w:rsid w:val="00927D4F"/>
    <w:rsid w:val="009305F5"/>
    <w:rsid w:val="009339F5"/>
    <w:rsid w:val="00935445"/>
    <w:rsid w:val="00944BF6"/>
    <w:rsid w:val="00944F73"/>
    <w:rsid w:val="0094707F"/>
    <w:rsid w:val="0095349A"/>
    <w:rsid w:val="00953C40"/>
    <w:rsid w:val="009547CA"/>
    <w:rsid w:val="00960F97"/>
    <w:rsid w:val="009776F8"/>
    <w:rsid w:val="0098067D"/>
    <w:rsid w:val="0098168B"/>
    <w:rsid w:val="00982AC3"/>
    <w:rsid w:val="00983D26"/>
    <w:rsid w:val="0098457B"/>
    <w:rsid w:val="00995556"/>
    <w:rsid w:val="00995BAE"/>
    <w:rsid w:val="009A705B"/>
    <w:rsid w:val="009A7E00"/>
    <w:rsid w:val="009B22D5"/>
    <w:rsid w:val="009B469B"/>
    <w:rsid w:val="009B5F8F"/>
    <w:rsid w:val="009C05D1"/>
    <w:rsid w:val="009C1589"/>
    <w:rsid w:val="009D076D"/>
    <w:rsid w:val="009D0BA1"/>
    <w:rsid w:val="009D3ABF"/>
    <w:rsid w:val="009D752D"/>
    <w:rsid w:val="009D7BD3"/>
    <w:rsid w:val="009E01DB"/>
    <w:rsid w:val="009E63B9"/>
    <w:rsid w:val="009E6EF7"/>
    <w:rsid w:val="009E72F7"/>
    <w:rsid w:val="009F0F4A"/>
    <w:rsid w:val="009F130C"/>
    <w:rsid w:val="009F4461"/>
    <w:rsid w:val="009F4918"/>
    <w:rsid w:val="009F6A24"/>
    <w:rsid w:val="009F7591"/>
    <w:rsid w:val="00A0151C"/>
    <w:rsid w:val="00A050C5"/>
    <w:rsid w:val="00A057A3"/>
    <w:rsid w:val="00A101C3"/>
    <w:rsid w:val="00A10CD6"/>
    <w:rsid w:val="00A151CC"/>
    <w:rsid w:val="00A17E7E"/>
    <w:rsid w:val="00A22078"/>
    <w:rsid w:val="00A22C35"/>
    <w:rsid w:val="00A24116"/>
    <w:rsid w:val="00A246D9"/>
    <w:rsid w:val="00A26727"/>
    <w:rsid w:val="00A3216A"/>
    <w:rsid w:val="00A32F19"/>
    <w:rsid w:val="00A34EFB"/>
    <w:rsid w:val="00A3527F"/>
    <w:rsid w:val="00A42BA9"/>
    <w:rsid w:val="00A43B2E"/>
    <w:rsid w:val="00A44C74"/>
    <w:rsid w:val="00A51086"/>
    <w:rsid w:val="00A56827"/>
    <w:rsid w:val="00A625A6"/>
    <w:rsid w:val="00A676FA"/>
    <w:rsid w:val="00A7211B"/>
    <w:rsid w:val="00A74D2D"/>
    <w:rsid w:val="00A77560"/>
    <w:rsid w:val="00A86618"/>
    <w:rsid w:val="00A86CC1"/>
    <w:rsid w:val="00A86E43"/>
    <w:rsid w:val="00A87CD7"/>
    <w:rsid w:val="00A9355E"/>
    <w:rsid w:val="00A94EE6"/>
    <w:rsid w:val="00A96D4B"/>
    <w:rsid w:val="00AA0CD7"/>
    <w:rsid w:val="00AA0FEB"/>
    <w:rsid w:val="00AA366D"/>
    <w:rsid w:val="00AA4F1C"/>
    <w:rsid w:val="00AA6AF3"/>
    <w:rsid w:val="00AA6FF7"/>
    <w:rsid w:val="00AB122F"/>
    <w:rsid w:val="00AB4A26"/>
    <w:rsid w:val="00AB5CB1"/>
    <w:rsid w:val="00AC122B"/>
    <w:rsid w:val="00AC56C5"/>
    <w:rsid w:val="00AC5BAD"/>
    <w:rsid w:val="00AD0BC9"/>
    <w:rsid w:val="00AD3462"/>
    <w:rsid w:val="00AE099B"/>
    <w:rsid w:val="00AE2754"/>
    <w:rsid w:val="00AE49A4"/>
    <w:rsid w:val="00AE6ADA"/>
    <w:rsid w:val="00AE748D"/>
    <w:rsid w:val="00AE7D3E"/>
    <w:rsid w:val="00AF14F8"/>
    <w:rsid w:val="00AF4483"/>
    <w:rsid w:val="00AF5188"/>
    <w:rsid w:val="00B00039"/>
    <w:rsid w:val="00B0328C"/>
    <w:rsid w:val="00B03852"/>
    <w:rsid w:val="00B0617B"/>
    <w:rsid w:val="00B072D4"/>
    <w:rsid w:val="00B11B7C"/>
    <w:rsid w:val="00B13208"/>
    <w:rsid w:val="00B13E07"/>
    <w:rsid w:val="00B179E1"/>
    <w:rsid w:val="00B200BC"/>
    <w:rsid w:val="00B23BF8"/>
    <w:rsid w:val="00B269B7"/>
    <w:rsid w:val="00B27372"/>
    <w:rsid w:val="00B3094A"/>
    <w:rsid w:val="00B31BB8"/>
    <w:rsid w:val="00B3535F"/>
    <w:rsid w:val="00B379A8"/>
    <w:rsid w:val="00B41F19"/>
    <w:rsid w:val="00B43AEF"/>
    <w:rsid w:val="00B45831"/>
    <w:rsid w:val="00B46A36"/>
    <w:rsid w:val="00B46D22"/>
    <w:rsid w:val="00B47CFA"/>
    <w:rsid w:val="00B52EBC"/>
    <w:rsid w:val="00B53EB1"/>
    <w:rsid w:val="00B656F8"/>
    <w:rsid w:val="00B7176B"/>
    <w:rsid w:val="00B733E4"/>
    <w:rsid w:val="00B734B1"/>
    <w:rsid w:val="00B73C36"/>
    <w:rsid w:val="00B74BD6"/>
    <w:rsid w:val="00B7520A"/>
    <w:rsid w:val="00B771B4"/>
    <w:rsid w:val="00B7753C"/>
    <w:rsid w:val="00B835C1"/>
    <w:rsid w:val="00B855DD"/>
    <w:rsid w:val="00BA1494"/>
    <w:rsid w:val="00BA260F"/>
    <w:rsid w:val="00BA6409"/>
    <w:rsid w:val="00BA744C"/>
    <w:rsid w:val="00BB1559"/>
    <w:rsid w:val="00BB23FC"/>
    <w:rsid w:val="00BB24D5"/>
    <w:rsid w:val="00BB2B75"/>
    <w:rsid w:val="00BB34BF"/>
    <w:rsid w:val="00BB65CD"/>
    <w:rsid w:val="00BB6F07"/>
    <w:rsid w:val="00BC3263"/>
    <w:rsid w:val="00BC5C97"/>
    <w:rsid w:val="00BC61E0"/>
    <w:rsid w:val="00BD0C57"/>
    <w:rsid w:val="00BD126F"/>
    <w:rsid w:val="00BD2924"/>
    <w:rsid w:val="00BD4FC1"/>
    <w:rsid w:val="00BD783C"/>
    <w:rsid w:val="00BD7E6C"/>
    <w:rsid w:val="00BE0431"/>
    <w:rsid w:val="00BE06BE"/>
    <w:rsid w:val="00BE0D75"/>
    <w:rsid w:val="00BE2BA4"/>
    <w:rsid w:val="00BE4B9A"/>
    <w:rsid w:val="00BE70CB"/>
    <w:rsid w:val="00BF22D1"/>
    <w:rsid w:val="00BF2859"/>
    <w:rsid w:val="00BF47E6"/>
    <w:rsid w:val="00BF7FF9"/>
    <w:rsid w:val="00C00A90"/>
    <w:rsid w:val="00C06A6B"/>
    <w:rsid w:val="00C06BCA"/>
    <w:rsid w:val="00C13127"/>
    <w:rsid w:val="00C138F5"/>
    <w:rsid w:val="00C17D16"/>
    <w:rsid w:val="00C2357D"/>
    <w:rsid w:val="00C25D15"/>
    <w:rsid w:val="00C308FB"/>
    <w:rsid w:val="00C3218B"/>
    <w:rsid w:val="00C3269F"/>
    <w:rsid w:val="00C33D8C"/>
    <w:rsid w:val="00C37C94"/>
    <w:rsid w:val="00C415B0"/>
    <w:rsid w:val="00C447C8"/>
    <w:rsid w:val="00C455EB"/>
    <w:rsid w:val="00C46A91"/>
    <w:rsid w:val="00C52099"/>
    <w:rsid w:val="00C56854"/>
    <w:rsid w:val="00C626E8"/>
    <w:rsid w:val="00C62D0C"/>
    <w:rsid w:val="00C65295"/>
    <w:rsid w:val="00C67580"/>
    <w:rsid w:val="00C707CC"/>
    <w:rsid w:val="00C72487"/>
    <w:rsid w:val="00C72FFA"/>
    <w:rsid w:val="00C777D6"/>
    <w:rsid w:val="00C81D72"/>
    <w:rsid w:val="00C85B4D"/>
    <w:rsid w:val="00C90BD8"/>
    <w:rsid w:val="00C91AA6"/>
    <w:rsid w:val="00C92C65"/>
    <w:rsid w:val="00CA18DE"/>
    <w:rsid w:val="00CA66C4"/>
    <w:rsid w:val="00CB553D"/>
    <w:rsid w:val="00CB7DDD"/>
    <w:rsid w:val="00CC143E"/>
    <w:rsid w:val="00CC1E72"/>
    <w:rsid w:val="00CC285E"/>
    <w:rsid w:val="00CC311E"/>
    <w:rsid w:val="00CC3660"/>
    <w:rsid w:val="00CC392F"/>
    <w:rsid w:val="00CC3C74"/>
    <w:rsid w:val="00CC3FD6"/>
    <w:rsid w:val="00CD0C89"/>
    <w:rsid w:val="00CD60F4"/>
    <w:rsid w:val="00CE488D"/>
    <w:rsid w:val="00CF0BFB"/>
    <w:rsid w:val="00CF3290"/>
    <w:rsid w:val="00CF3E67"/>
    <w:rsid w:val="00CF4212"/>
    <w:rsid w:val="00CF5EBB"/>
    <w:rsid w:val="00D027EA"/>
    <w:rsid w:val="00D02A77"/>
    <w:rsid w:val="00D11642"/>
    <w:rsid w:val="00D121B4"/>
    <w:rsid w:val="00D1455E"/>
    <w:rsid w:val="00D14670"/>
    <w:rsid w:val="00D16FBC"/>
    <w:rsid w:val="00D2085C"/>
    <w:rsid w:val="00D22D4E"/>
    <w:rsid w:val="00D2512D"/>
    <w:rsid w:val="00D32064"/>
    <w:rsid w:val="00D32472"/>
    <w:rsid w:val="00D33794"/>
    <w:rsid w:val="00D41249"/>
    <w:rsid w:val="00D427A1"/>
    <w:rsid w:val="00D439C8"/>
    <w:rsid w:val="00D44C86"/>
    <w:rsid w:val="00D44F3C"/>
    <w:rsid w:val="00D44FF9"/>
    <w:rsid w:val="00D45BAF"/>
    <w:rsid w:val="00D560E7"/>
    <w:rsid w:val="00D566C8"/>
    <w:rsid w:val="00D566DD"/>
    <w:rsid w:val="00D567E8"/>
    <w:rsid w:val="00D5689F"/>
    <w:rsid w:val="00D569AB"/>
    <w:rsid w:val="00D56BCB"/>
    <w:rsid w:val="00D60D16"/>
    <w:rsid w:val="00D64C11"/>
    <w:rsid w:val="00D6749E"/>
    <w:rsid w:val="00D74F0C"/>
    <w:rsid w:val="00D76ADA"/>
    <w:rsid w:val="00D77BB4"/>
    <w:rsid w:val="00D80992"/>
    <w:rsid w:val="00D851B9"/>
    <w:rsid w:val="00D8694A"/>
    <w:rsid w:val="00D94024"/>
    <w:rsid w:val="00D9518E"/>
    <w:rsid w:val="00DA667A"/>
    <w:rsid w:val="00DB5F34"/>
    <w:rsid w:val="00DC1905"/>
    <w:rsid w:val="00DC3694"/>
    <w:rsid w:val="00DC529E"/>
    <w:rsid w:val="00DC5EB3"/>
    <w:rsid w:val="00DC754E"/>
    <w:rsid w:val="00DD1112"/>
    <w:rsid w:val="00DD3F13"/>
    <w:rsid w:val="00DD4DCE"/>
    <w:rsid w:val="00DD4ED9"/>
    <w:rsid w:val="00DD50DF"/>
    <w:rsid w:val="00DE1D88"/>
    <w:rsid w:val="00DE58A9"/>
    <w:rsid w:val="00DE7899"/>
    <w:rsid w:val="00DF387E"/>
    <w:rsid w:val="00DF3B13"/>
    <w:rsid w:val="00DF4F21"/>
    <w:rsid w:val="00E009A7"/>
    <w:rsid w:val="00E06432"/>
    <w:rsid w:val="00E075C1"/>
    <w:rsid w:val="00E11F00"/>
    <w:rsid w:val="00E127A8"/>
    <w:rsid w:val="00E149E2"/>
    <w:rsid w:val="00E1526F"/>
    <w:rsid w:val="00E171EC"/>
    <w:rsid w:val="00E17CBB"/>
    <w:rsid w:val="00E21086"/>
    <w:rsid w:val="00E3419B"/>
    <w:rsid w:val="00E346FF"/>
    <w:rsid w:val="00E47C1F"/>
    <w:rsid w:val="00E516D5"/>
    <w:rsid w:val="00E51A35"/>
    <w:rsid w:val="00E553FB"/>
    <w:rsid w:val="00E606BD"/>
    <w:rsid w:val="00E60AB9"/>
    <w:rsid w:val="00E621F0"/>
    <w:rsid w:val="00E62A32"/>
    <w:rsid w:val="00E62FC9"/>
    <w:rsid w:val="00E638D7"/>
    <w:rsid w:val="00E6499B"/>
    <w:rsid w:val="00E662EF"/>
    <w:rsid w:val="00E71E4F"/>
    <w:rsid w:val="00E87A60"/>
    <w:rsid w:val="00E927D9"/>
    <w:rsid w:val="00E94CC7"/>
    <w:rsid w:val="00E96D1F"/>
    <w:rsid w:val="00E9761B"/>
    <w:rsid w:val="00EA4A30"/>
    <w:rsid w:val="00EA73D0"/>
    <w:rsid w:val="00EB024F"/>
    <w:rsid w:val="00EB3C35"/>
    <w:rsid w:val="00EB65AD"/>
    <w:rsid w:val="00EB7972"/>
    <w:rsid w:val="00EC035D"/>
    <w:rsid w:val="00EC0570"/>
    <w:rsid w:val="00EC15DA"/>
    <w:rsid w:val="00EC2ABC"/>
    <w:rsid w:val="00EC7DBB"/>
    <w:rsid w:val="00ED7E11"/>
    <w:rsid w:val="00EE1CD3"/>
    <w:rsid w:val="00EE5152"/>
    <w:rsid w:val="00EE7BC3"/>
    <w:rsid w:val="00EF10C4"/>
    <w:rsid w:val="00EF38C0"/>
    <w:rsid w:val="00EF78FB"/>
    <w:rsid w:val="00F02F1E"/>
    <w:rsid w:val="00F04516"/>
    <w:rsid w:val="00F04D08"/>
    <w:rsid w:val="00F05B39"/>
    <w:rsid w:val="00F2024C"/>
    <w:rsid w:val="00F25D5E"/>
    <w:rsid w:val="00F36AC0"/>
    <w:rsid w:val="00F45FB7"/>
    <w:rsid w:val="00F50E52"/>
    <w:rsid w:val="00F51CF6"/>
    <w:rsid w:val="00F54089"/>
    <w:rsid w:val="00F65B81"/>
    <w:rsid w:val="00F7022C"/>
    <w:rsid w:val="00F730E9"/>
    <w:rsid w:val="00F743D2"/>
    <w:rsid w:val="00F81A8E"/>
    <w:rsid w:val="00F87761"/>
    <w:rsid w:val="00F87CD1"/>
    <w:rsid w:val="00F920AF"/>
    <w:rsid w:val="00F94D82"/>
    <w:rsid w:val="00F94F88"/>
    <w:rsid w:val="00F9640F"/>
    <w:rsid w:val="00F97950"/>
    <w:rsid w:val="00F97A12"/>
    <w:rsid w:val="00FA0A9E"/>
    <w:rsid w:val="00FA6025"/>
    <w:rsid w:val="00FA7521"/>
    <w:rsid w:val="00FA7B9D"/>
    <w:rsid w:val="00FB0D0B"/>
    <w:rsid w:val="00FB1A35"/>
    <w:rsid w:val="00FB364B"/>
    <w:rsid w:val="00FB6C8E"/>
    <w:rsid w:val="00FC0397"/>
    <w:rsid w:val="00FC0963"/>
    <w:rsid w:val="00FC1A47"/>
    <w:rsid w:val="00FC2C67"/>
    <w:rsid w:val="00FC3F22"/>
    <w:rsid w:val="00FC41B7"/>
    <w:rsid w:val="00FC4CA8"/>
    <w:rsid w:val="00FC5D29"/>
    <w:rsid w:val="00FC78EA"/>
    <w:rsid w:val="00FC7CFA"/>
    <w:rsid w:val="00FD2C55"/>
    <w:rsid w:val="00FD3374"/>
    <w:rsid w:val="00FD6C05"/>
    <w:rsid w:val="00FD6F08"/>
    <w:rsid w:val="00FD7F8F"/>
    <w:rsid w:val="00FE00E1"/>
    <w:rsid w:val="00FE1432"/>
    <w:rsid w:val="00FE6800"/>
    <w:rsid w:val="00FF1D9F"/>
    <w:rsid w:val="00FF459F"/>
    <w:rsid w:val="00FF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9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04230"/>
    <w:pPr>
      <w:keepNext/>
      <w:jc w:val="center"/>
      <w:outlineLvl w:val="4"/>
    </w:pPr>
    <w:rPr>
      <w:rFonts w:ascii="Futuris" w:hAnsi="Futuris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F84"/>
    <w:pPr>
      <w:spacing w:before="100" w:beforeAutospacing="1" w:after="100" w:afterAutospacing="1"/>
    </w:pPr>
  </w:style>
  <w:style w:type="character" w:styleId="a4">
    <w:name w:val="Strong"/>
    <w:qFormat/>
    <w:rsid w:val="00556F84"/>
    <w:rPr>
      <w:b/>
      <w:bCs/>
    </w:rPr>
  </w:style>
  <w:style w:type="paragraph" w:customStyle="1" w:styleId="newsp">
    <w:name w:val="news_p"/>
    <w:basedOn w:val="a"/>
    <w:rsid w:val="00556F84"/>
    <w:pPr>
      <w:spacing w:before="100" w:beforeAutospacing="1" w:after="100" w:afterAutospacing="1"/>
    </w:pPr>
  </w:style>
  <w:style w:type="character" w:styleId="a5">
    <w:name w:val="Hyperlink"/>
    <w:rsid w:val="00556F84"/>
    <w:rPr>
      <w:color w:val="0000FF"/>
      <w:u w:val="single"/>
    </w:rPr>
  </w:style>
  <w:style w:type="character" w:customStyle="1" w:styleId="apple-style-span">
    <w:name w:val="apple-style-span"/>
    <w:basedOn w:val="a0"/>
    <w:rsid w:val="00F97950"/>
  </w:style>
  <w:style w:type="paragraph" w:styleId="a6">
    <w:name w:val="header"/>
    <w:basedOn w:val="a"/>
    <w:rsid w:val="00EA4A3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04230"/>
    <w:pPr>
      <w:spacing w:before="60"/>
      <w:ind w:right="-6"/>
      <w:jc w:val="both"/>
    </w:pPr>
    <w:rPr>
      <w:sz w:val="28"/>
      <w:lang w:val="uk-UA"/>
    </w:rPr>
  </w:style>
  <w:style w:type="table" w:styleId="a7">
    <w:name w:val="Table Grid"/>
    <w:basedOn w:val="a1"/>
    <w:rsid w:val="0090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rsid w:val="00904230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B771B4"/>
    <w:pPr>
      <w:spacing w:after="120"/>
      <w:ind w:left="283"/>
    </w:pPr>
  </w:style>
  <w:style w:type="character" w:styleId="a9">
    <w:name w:val="page number"/>
    <w:basedOn w:val="a0"/>
    <w:rsid w:val="00127AB7"/>
  </w:style>
  <w:style w:type="paragraph" w:styleId="aa">
    <w:name w:val="Balloon Text"/>
    <w:basedOn w:val="a"/>
    <w:semiHidden/>
    <w:rsid w:val="00620807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D027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BB8"/>
  </w:style>
  <w:style w:type="character" w:customStyle="1" w:styleId="spelle">
    <w:name w:val="spelle"/>
    <w:basedOn w:val="a0"/>
    <w:rsid w:val="00B31BB8"/>
  </w:style>
  <w:style w:type="paragraph" w:customStyle="1" w:styleId="a00">
    <w:name w:val="a0"/>
    <w:basedOn w:val="a"/>
    <w:rsid w:val="00B31BB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30099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A41E8"/>
  </w:style>
  <w:style w:type="paragraph" w:styleId="20">
    <w:name w:val="Body Text Indent 2"/>
    <w:basedOn w:val="a"/>
    <w:rsid w:val="0068458B"/>
    <w:pPr>
      <w:spacing w:after="120" w:line="480" w:lineRule="auto"/>
      <w:ind w:left="283"/>
    </w:pPr>
  </w:style>
  <w:style w:type="paragraph" w:styleId="ac">
    <w:name w:val="footer"/>
    <w:basedOn w:val="a"/>
    <w:rsid w:val="000A3939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98168B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7C28A6"/>
    <w:rPr>
      <w:rFonts w:ascii="Futuris" w:hAnsi="Futuris"/>
      <w:i/>
      <w:sz w:val="28"/>
      <w:lang w:val="uk-UA"/>
    </w:rPr>
  </w:style>
  <w:style w:type="paragraph" w:styleId="ad">
    <w:name w:val="List"/>
    <w:basedOn w:val="ae"/>
    <w:rsid w:val="00913FA3"/>
    <w:pPr>
      <w:widowControl w:val="0"/>
      <w:suppressAutoHyphens/>
    </w:pPr>
    <w:rPr>
      <w:rFonts w:eastAsia="Andale Sans UI" w:cs="Tahoma"/>
      <w:kern w:val="1"/>
    </w:rPr>
  </w:style>
  <w:style w:type="paragraph" w:styleId="ae">
    <w:name w:val="Body Text"/>
    <w:basedOn w:val="a"/>
    <w:link w:val="af"/>
    <w:rsid w:val="00913FA3"/>
    <w:pPr>
      <w:spacing w:after="120"/>
    </w:pPr>
  </w:style>
  <w:style w:type="character" w:customStyle="1" w:styleId="af">
    <w:name w:val="Основной текст Знак"/>
    <w:link w:val="ae"/>
    <w:rsid w:val="00913FA3"/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823A5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1">
    <w:name w:val="Знак Знак Знак Знак"/>
    <w:basedOn w:val="a"/>
    <w:rsid w:val="007F66BB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AE099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99B"/>
    <w:pPr>
      <w:widowControl w:val="0"/>
      <w:shd w:val="clear" w:color="auto" w:fill="FFFFFF"/>
      <w:spacing w:before="780" w:line="322" w:lineRule="exact"/>
      <w:jc w:val="both"/>
    </w:pPr>
    <w:rPr>
      <w:sz w:val="26"/>
      <w:szCs w:val="26"/>
      <w:lang w:val="uk-UA" w:eastAsia="uk-UA"/>
    </w:rPr>
  </w:style>
  <w:style w:type="paragraph" w:styleId="af2">
    <w:name w:val="List Paragraph"/>
    <w:basedOn w:val="a"/>
    <w:uiPriority w:val="34"/>
    <w:qFormat/>
    <w:rsid w:val="00AE099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9E01DB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A27E2"/>
  </w:style>
  <w:style w:type="character" w:customStyle="1" w:styleId="10">
    <w:name w:val="Заголовок 1 Знак"/>
    <w:basedOn w:val="a0"/>
    <w:link w:val="1"/>
    <w:rsid w:val="00411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3">
    <w:name w:val="Body Text 2"/>
    <w:basedOn w:val="a"/>
    <w:link w:val="24"/>
    <w:rsid w:val="0041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19EE"/>
    <w:rPr>
      <w:sz w:val="24"/>
      <w:szCs w:val="24"/>
    </w:rPr>
  </w:style>
  <w:style w:type="paragraph" w:styleId="HTML">
    <w:name w:val="HTML Preformatted"/>
    <w:basedOn w:val="a"/>
    <w:link w:val="HTML0"/>
    <w:rsid w:val="00093A4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3A4D"/>
    <w:rPr>
      <w:rFonts w:ascii="Courier New" w:hAnsi="Courier New" w:cs="Courier New"/>
    </w:rPr>
  </w:style>
  <w:style w:type="character" w:customStyle="1" w:styleId="rvts23">
    <w:name w:val="rvts23"/>
    <w:basedOn w:val="a0"/>
    <w:rsid w:val="00D56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04230"/>
    <w:pPr>
      <w:keepNext/>
      <w:jc w:val="center"/>
      <w:outlineLvl w:val="4"/>
    </w:pPr>
    <w:rPr>
      <w:rFonts w:ascii="Futuris" w:hAnsi="Futuris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F84"/>
    <w:pPr>
      <w:spacing w:before="100" w:beforeAutospacing="1" w:after="100" w:afterAutospacing="1"/>
    </w:pPr>
  </w:style>
  <w:style w:type="character" w:styleId="a4">
    <w:name w:val="Strong"/>
    <w:qFormat/>
    <w:rsid w:val="00556F84"/>
    <w:rPr>
      <w:b/>
      <w:bCs/>
    </w:rPr>
  </w:style>
  <w:style w:type="paragraph" w:customStyle="1" w:styleId="newsp">
    <w:name w:val="news_p"/>
    <w:basedOn w:val="a"/>
    <w:rsid w:val="00556F84"/>
    <w:pPr>
      <w:spacing w:before="100" w:beforeAutospacing="1" w:after="100" w:afterAutospacing="1"/>
    </w:pPr>
  </w:style>
  <w:style w:type="character" w:styleId="a5">
    <w:name w:val="Hyperlink"/>
    <w:rsid w:val="00556F84"/>
    <w:rPr>
      <w:color w:val="0000FF"/>
      <w:u w:val="single"/>
    </w:rPr>
  </w:style>
  <w:style w:type="character" w:customStyle="1" w:styleId="apple-style-span">
    <w:name w:val="apple-style-span"/>
    <w:basedOn w:val="a0"/>
    <w:rsid w:val="00F97950"/>
  </w:style>
  <w:style w:type="paragraph" w:styleId="a6">
    <w:name w:val="header"/>
    <w:basedOn w:val="a"/>
    <w:rsid w:val="00EA4A3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04230"/>
    <w:pPr>
      <w:spacing w:before="60"/>
      <w:ind w:right="-6"/>
      <w:jc w:val="both"/>
    </w:pPr>
    <w:rPr>
      <w:sz w:val="28"/>
      <w:lang w:val="uk-UA"/>
    </w:rPr>
  </w:style>
  <w:style w:type="table" w:styleId="a7">
    <w:name w:val="Table Grid"/>
    <w:basedOn w:val="a1"/>
    <w:rsid w:val="0090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904230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B771B4"/>
    <w:pPr>
      <w:spacing w:after="120"/>
      <w:ind w:left="283"/>
    </w:pPr>
  </w:style>
  <w:style w:type="character" w:styleId="a9">
    <w:name w:val="page number"/>
    <w:basedOn w:val="a0"/>
    <w:rsid w:val="00127AB7"/>
  </w:style>
  <w:style w:type="paragraph" w:styleId="aa">
    <w:name w:val="Balloon Text"/>
    <w:basedOn w:val="a"/>
    <w:semiHidden/>
    <w:rsid w:val="00620807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D027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BB8"/>
  </w:style>
  <w:style w:type="character" w:customStyle="1" w:styleId="spelle">
    <w:name w:val="spelle"/>
    <w:basedOn w:val="a0"/>
    <w:rsid w:val="00B31BB8"/>
  </w:style>
  <w:style w:type="paragraph" w:customStyle="1" w:styleId="a00">
    <w:name w:val="a0"/>
    <w:basedOn w:val="a"/>
    <w:rsid w:val="00B31BB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30099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A41E8"/>
  </w:style>
  <w:style w:type="paragraph" w:styleId="20">
    <w:name w:val="Body Text Indent 2"/>
    <w:basedOn w:val="a"/>
    <w:rsid w:val="0068458B"/>
    <w:pPr>
      <w:spacing w:after="120" w:line="480" w:lineRule="auto"/>
      <w:ind w:left="283"/>
    </w:pPr>
  </w:style>
  <w:style w:type="paragraph" w:styleId="ac">
    <w:name w:val="footer"/>
    <w:basedOn w:val="a"/>
    <w:rsid w:val="000A3939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98168B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7C28A6"/>
    <w:rPr>
      <w:rFonts w:ascii="Futuris" w:hAnsi="Futuris"/>
      <w:i/>
      <w:sz w:val="28"/>
      <w:lang w:val="uk-UA"/>
    </w:rPr>
  </w:style>
  <w:style w:type="paragraph" w:styleId="ad">
    <w:name w:val="List"/>
    <w:basedOn w:val="ae"/>
    <w:rsid w:val="00913FA3"/>
    <w:pPr>
      <w:widowControl w:val="0"/>
      <w:suppressAutoHyphens/>
    </w:pPr>
    <w:rPr>
      <w:rFonts w:eastAsia="Andale Sans UI" w:cs="Tahoma"/>
      <w:kern w:val="1"/>
    </w:rPr>
  </w:style>
  <w:style w:type="paragraph" w:styleId="ae">
    <w:name w:val="Body Text"/>
    <w:basedOn w:val="a"/>
    <w:link w:val="af"/>
    <w:rsid w:val="00913FA3"/>
    <w:pPr>
      <w:spacing w:after="120"/>
    </w:pPr>
  </w:style>
  <w:style w:type="character" w:customStyle="1" w:styleId="af">
    <w:name w:val="Основной текст Знак"/>
    <w:link w:val="ae"/>
    <w:rsid w:val="00913FA3"/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823A5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1">
    <w:name w:val="Знак Знак Знак Знак"/>
    <w:basedOn w:val="a"/>
    <w:rsid w:val="007F66BB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AE099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99B"/>
    <w:pPr>
      <w:widowControl w:val="0"/>
      <w:shd w:val="clear" w:color="auto" w:fill="FFFFFF"/>
      <w:spacing w:before="780" w:line="322" w:lineRule="exact"/>
      <w:jc w:val="both"/>
    </w:pPr>
    <w:rPr>
      <w:sz w:val="26"/>
      <w:szCs w:val="26"/>
      <w:lang w:val="uk-UA" w:eastAsia="uk-UA"/>
    </w:rPr>
  </w:style>
  <w:style w:type="paragraph" w:styleId="af2">
    <w:name w:val="List Paragraph"/>
    <w:basedOn w:val="a"/>
    <w:uiPriority w:val="34"/>
    <w:qFormat/>
    <w:rsid w:val="00AE099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9E01DB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A27E2"/>
  </w:style>
  <w:style w:type="character" w:customStyle="1" w:styleId="10">
    <w:name w:val="Заголовок 1 Знак"/>
    <w:basedOn w:val="a0"/>
    <w:link w:val="1"/>
    <w:rsid w:val="00411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3">
    <w:name w:val="Body Text 2"/>
    <w:basedOn w:val="a"/>
    <w:link w:val="24"/>
    <w:rsid w:val="0041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19EE"/>
    <w:rPr>
      <w:sz w:val="24"/>
      <w:szCs w:val="24"/>
    </w:rPr>
  </w:style>
  <w:style w:type="paragraph" w:styleId="HTML">
    <w:name w:val="HTML Preformatted"/>
    <w:basedOn w:val="a"/>
    <w:link w:val="HTML0"/>
    <w:rsid w:val="00093A4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3A4D"/>
    <w:rPr>
      <w:rFonts w:ascii="Courier New" w:hAnsi="Courier New" w:cs="Courier New"/>
    </w:rPr>
  </w:style>
  <w:style w:type="character" w:customStyle="1" w:styleId="rvts23">
    <w:name w:val="rvts23"/>
    <w:basedOn w:val="a0"/>
    <w:rsid w:val="00D56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2486-32B1-449B-8539-75CBF5D7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MoBIL GROUP</Company>
  <LinksUpToDate>false</LinksUpToDate>
  <CharactersWithSpaces>8771</CharactersWithSpaces>
  <SharedDoc>false</SharedDoc>
  <HLinks>
    <vt:vector size="12" baseType="variant">
      <vt:variant>
        <vt:i4>5111913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http://search.ligazakon.ua/l_doc2.nsf/link1/KP031687.html</vt:lpwstr>
      </vt:variant>
      <vt:variant>
        <vt:lpwstr/>
      </vt:variant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http://search.ligazakon.ua/l_doc2.nsf/link1/KP031687.html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Natasha</cp:lastModifiedBy>
  <cp:revision>4</cp:revision>
  <cp:lastPrinted>2019-08-21T06:17:00Z</cp:lastPrinted>
  <dcterms:created xsi:type="dcterms:W3CDTF">2019-08-21T11:04:00Z</dcterms:created>
  <dcterms:modified xsi:type="dcterms:W3CDTF">2019-08-22T06:18:00Z</dcterms:modified>
</cp:coreProperties>
</file>