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«Про демонтаж тимчасових об’єктів</w:t>
      </w:r>
      <w:bookmarkStart w:id="0" w:name="__DdeLink__50_4037355792"/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(металевих гаражів) 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</w:rPr>
        <w:br/>
        <w:t>на території м. 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і металеві гаражі.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 xml:space="preserve">незаконне розміщення 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>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Рішенням виконавчого комітету Чернігівської міської ради від 16 січня 2020 року № 15 (зі змінами) затверджен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склад комісії з демонтажу незаконно розміщених обʼєктів на території міста Чернігова (далі — Комісія з демонтажу), а також Положення про комісію з демонтажу незаконно розміщених обʼєктів на території міста Чернігова (далі — Положення).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08 грудня 2023 року Комісією з демонтажу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питання </w:t>
      </w:r>
      <w:bookmarkStart w:id="1" w:name="__DdeLink__5152_3105282619"/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щодо демонтажу незаконно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розміщених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тимчасових об’єктів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  <w:bookmarkEnd w:id="1"/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(метале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вих гаражів),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7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 шт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 xml:space="preserve">. 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ab/>
        <w:t>Відповідно до п. 2.29 Регламент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ab/>
        <w:t>Ігор ДЄДІКОВ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Application>LibreOffice/7.3.7.2$Linux_X86_64 LibreOffice_project/30$Build-2</Application>
  <AppVersion>15.0000</AppVersion>
  <Pages>1</Pages>
  <Words>263</Words>
  <Characters>1850</Characters>
  <CharactersWithSpaces>2115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2023-12-15T11:17:22Z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