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1268F3" w:rsidRPr="001268F3" w:rsidTr="00422523">
        <w:trPr>
          <w:trHeight w:val="983"/>
        </w:trPr>
        <w:tc>
          <w:tcPr>
            <w:tcW w:w="6487" w:type="dxa"/>
          </w:tcPr>
          <w:p w:rsidR="001268F3" w:rsidRPr="001268F3" w:rsidRDefault="001268F3" w:rsidP="001268F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bCs w:val="0"/>
                <w:color w:val="auto"/>
                <w:sz w:val="36"/>
                <w:szCs w:val="36"/>
              </w:rPr>
            </w:pP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ab/>
              <w:t xml:space="preserve">      </w:t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  <w:lang w:val="en-US"/>
              </w:rPr>
              <w:t xml:space="preserve">   </w:t>
            </w:r>
            <w:r w:rsidRPr="001268F3">
              <w:rPr>
                <w:rFonts w:ascii="Garamond" w:hAnsi="Garamond"/>
                <w:bCs w:val="0"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bCs w:val="0"/>
                <w:noProof/>
                <w:color w:val="auto"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1268F3" w:rsidRPr="001268F3" w:rsidRDefault="001268F3" w:rsidP="001268F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spacing w:val="2"/>
              </w:rPr>
            </w:pPr>
            <w:r w:rsidRPr="001268F3">
              <w:rPr>
                <w:bCs w:val="0"/>
                <w:spacing w:val="7"/>
              </w:rPr>
              <w:t xml:space="preserve"> </w:t>
            </w:r>
          </w:p>
          <w:p w:rsidR="001268F3" w:rsidRPr="001268F3" w:rsidRDefault="001268F3" w:rsidP="001268F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 w:val="0"/>
                <w:color w:val="auto"/>
              </w:rPr>
            </w:pPr>
          </w:p>
        </w:tc>
      </w:tr>
    </w:tbl>
    <w:p w:rsidR="001268F3" w:rsidRPr="001268F3" w:rsidRDefault="001268F3" w:rsidP="001268F3">
      <w:pPr>
        <w:spacing w:after="60"/>
        <w:ind w:left="720" w:right="70" w:hanging="720"/>
        <w:jc w:val="center"/>
        <w:rPr>
          <w:b/>
          <w:bCs w:val="0"/>
          <w:color w:val="auto"/>
          <w:sz w:val="10"/>
          <w:szCs w:val="10"/>
        </w:rPr>
      </w:pPr>
      <w:r w:rsidRPr="001268F3">
        <w:rPr>
          <w:b/>
          <w:bCs w:val="0"/>
          <w:color w:val="auto"/>
          <w:sz w:val="24"/>
          <w:lang w:val="ru-RU"/>
        </w:rPr>
        <w:t xml:space="preserve">         </w:t>
      </w:r>
    </w:p>
    <w:p w:rsidR="001268F3" w:rsidRPr="001268F3" w:rsidRDefault="001268F3" w:rsidP="001268F3">
      <w:pPr>
        <w:spacing w:after="60"/>
        <w:ind w:left="3600" w:right="70" w:firstLine="720"/>
        <w:rPr>
          <w:b/>
          <w:bCs w:val="0"/>
          <w:color w:val="auto"/>
          <w:sz w:val="24"/>
        </w:rPr>
      </w:pPr>
      <w:r w:rsidRPr="001268F3">
        <w:rPr>
          <w:b/>
          <w:bCs w:val="0"/>
          <w:color w:val="auto"/>
          <w:sz w:val="24"/>
        </w:rPr>
        <w:t>УКРАЇНА</w:t>
      </w:r>
    </w:p>
    <w:p w:rsidR="001268F3" w:rsidRPr="001268F3" w:rsidRDefault="001268F3" w:rsidP="001268F3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268F3">
        <w:rPr>
          <w:b/>
          <w:bCs w:val="0"/>
          <w:color w:val="auto"/>
        </w:rPr>
        <w:t xml:space="preserve">     ЧЕРНІГІВСЬКА МІСЬКА РАДА</w:t>
      </w:r>
    </w:p>
    <w:p w:rsidR="001268F3" w:rsidRPr="001268F3" w:rsidRDefault="001268F3" w:rsidP="001268F3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268F3">
        <w:rPr>
          <w:bCs w:val="0"/>
          <w:color w:val="auto"/>
        </w:rPr>
        <w:t xml:space="preserve">     </w:t>
      </w:r>
      <w:r w:rsidRPr="001268F3">
        <w:rPr>
          <w:b/>
          <w:bCs w:val="0"/>
          <w:color w:val="auto"/>
        </w:rPr>
        <w:t>ВИКОНАВЧИЙ КОМІТЕТ</w:t>
      </w:r>
    </w:p>
    <w:p w:rsidR="001268F3" w:rsidRPr="001268F3" w:rsidRDefault="001268F3" w:rsidP="001268F3">
      <w:pPr>
        <w:spacing w:after="60"/>
        <w:ind w:left="720" w:right="70" w:hanging="720"/>
        <w:jc w:val="center"/>
        <w:rPr>
          <w:b/>
          <w:bCs w:val="0"/>
          <w:color w:val="auto"/>
        </w:rPr>
      </w:pPr>
      <w:r w:rsidRPr="001268F3">
        <w:rPr>
          <w:b/>
          <w:bCs w:val="0"/>
          <w:color w:val="auto"/>
        </w:rPr>
        <w:t xml:space="preserve">  Р І Ш Е Н </w:t>
      </w:r>
      <w:proofErr w:type="spellStart"/>
      <w:r w:rsidRPr="001268F3">
        <w:rPr>
          <w:b/>
          <w:bCs w:val="0"/>
          <w:color w:val="auto"/>
        </w:rPr>
        <w:t>Н</w:t>
      </w:r>
      <w:proofErr w:type="spellEnd"/>
      <w:r w:rsidRPr="001268F3">
        <w:rPr>
          <w:b/>
          <w:bCs w:val="0"/>
          <w:color w:val="auto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1268F3" w:rsidRPr="001268F3" w:rsidTr="0042252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268F3" w:rsidRPr="001268F3" w:rsidRDefault="001268F3" w:rsidP="001268F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268F3" w:rsidRPr="001268F3" w:rsidRDefault="001268F3" w:rsidP="001268F3">
            <w:pPr>
              <w:rPr>
                <w:bCs w:val="0"/>
                <w:color w:val="auto"/>
                <w:sz w:val="26"/>
                <w:szCs w:val="26"/>
              </w:rPr>
            </w:pPr>
            <w:r w:rsidRPr="001268F3">
              <w:rPr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1268F3">
              <w:rPr>
                <w:bCs w:val="0"/>
                <w:color w:val="auto"/>
                <w:sz w:val="26"/>
                <w:szCs w:val="26"/>
              </w:rPr>
              <w:t>2018 року</w:t>
            </w:r>
            <w:r w:rsidRPr="001268F3">
              <w:rPr>
                <w:bCs w:val="0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268F3" w:rsidRPr="001268F3" w:rsidRDefault="001268F3" w:rsidP="001268F3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268F3" w:rsidRPr="001268F3" w:rsidRDefault="001268F3" w:rsidP="001268F3">
            <w:pPr>
              <w:tabs>
                <w:tab w:val="left" w:pos="302"/>
              </w:tabs>
              <w:rPr>
                <w:bCs w:val="0"/>
                <w:color w:val="auto"/>
                <w:sz w:val="26"/>
                <w:szCs w:val="26"/>
              </w:rPr>
            </w:pPr>
            <w:r w:rsidRPr="001268F3">
              <w:rPr>
                <w:bCs w:val="0"/>
                <w:color w:val="auto"/>
                <w:sz w:val="24"/>
                <w:szCs w:val="24"/>
              </w:rPr>
              <w:t xml:space="preserve">         </w:t>
            </w:r>
            <w:r w:rsidRPr="001268F3">
              <w:rPr>
                <w:bCs w:val="0"/>
                <w:color w:val="auto"/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268F3" w:rsidRPr="001268F3" w:rsidRDefault="001268F3" w:rsidP="001268F3">
            <w:pPr>
              <w:jc w:val="center"/>
              <w:rPr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1268F3" w:rsidRPr="001268F3" w:rsidRDefault="001268F3" w:rsidP="001268F3">
            <w:pPr>
              <w:keepNext/>
              <w:spacing w:before="60" w:line="240" w:lineRule="exact"/>
              <w:jc w:val="center"/>
              <w:outlineLvl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268F3" w:rsidRPr="001268F3" w:rsidRDefault="001268F3" w:rsidP="001268F3">
            <w:pPr>
              <w:tabs>
                <w:tab w:val="left" w:pos="1952"/>
              </w:tabs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1268F3">
              <w:rPr>
                <w:bCs w:val="0"/>
                <w:color w:val="auto"/>
                <w:sz w:val="26"/>
                <w:szCs w:val="26"/>
              </w:rPr>
              <w:t>№</w:t>
            </w:r>
            <w:r w:rsidRPr="001268F3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1268F3">
              <w:rPr>
                <w:bCs w:val="0"/>
                <w:color w:val="auto"/>
                <w:sz w:val="26"/>
                <w:szCs w:val="26"/>
                <w:u w:val="single"/>
              </w:rPr>
              <w:t xml:space="preserve">     </w:t>
            </w:r>
          </w:p>
        </w:tc>
      </w:tr>
    </w:tbl>
    <w:p w:rsidR="001268F3" w:rsidRDefault="001268F3" w:rsidP="001268F3">
      <w:pPr>
        <w:jc w:val="both"/>
      </w:pPr>
    </w:p>
    <w:p w:rsidR="001268F3" w:rsidRDefault="001268F3" w:rsidP="001268F3">
      <w:pPr>
        <w:jc w:val="both"/>
      </w:pPr>
      <w:bookmarkStart w:id="0" w:name="_GoBack"/>
      <w:bookmarkEnd w:id="0"/>
      <w:r>
        <w:t>Про присвоєння та зміну поштових</w:t>
      </w:r>
    </w:p>
    <w:p w:rsidR="001268F3" w:rsidRDefault="001268F3" w:rsidP="001268F3">
      <w:pPr>
        <w:ind w:right="-22"/>
        <w:jc w:val="both"/>
      </w:pPr>
      <w:r>
        <w:t>адрес об’єктам нерухомого майна</w:t>
      </w:r>
    </w:p>
    <w:p w:rsidR="001268F3" w:rsidRDefault="001268F3" w:rsidP="001268F3">
      <w:pPr>
        <w:ind w:right="-22"/>
        <w:jc w:val="both"/>
      </w:pPr>
    </w:p>
    <w:p w:rsidR="001268F3" w:rsidRDefault="001268F3" w:rsidP="001268F3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268F3" w:rsidRDefault="001268F3" w:rsidP="001268F3">
      <w:pPr>
        <w:ind w:firstLine="708"/>
        <w:jc w:val="both"/>
      </w:pPr>
    </w:p>
    <w:p w:rsidR="001268F3" w:rsidRDefault="001268F3" w:rsidP="001268F3">
      <w:pPr>
        <w:pStyle w:val="a3"/>
        <w:numPr>
          <w:ilvl w:val="0"/>
          <w:numId w:val="1"/>
        </w:numPr>
        <w:jc w:val="both"/>
      </w:pPr>
      <w:r>
        <w:t>Присвоїти поштові адреси:</w:t>
      </w:r>
      <w:r>
        <w:tab/>
      </w:r>
    </w:p>
    <w:p w:rsidR="001268F3" w:rsidRPr="001268F3" w:rsidRDefault="001268F3" w:rsidP="001268F3">
      <w:pPr>
        <w:pStyle w:val="a3"/>
        <w:ind w:left="1068"/>
        <w:jc w:val="both"/>
        <w:rPr>
          <w:sz w:val="22"/>
          <w:szCs w:val="22"/>
        </w:rPr>
      </w:pPr>
    </w:p>
    <w:p w:rsidR="001268F3" w:rsidRDefault="001268F3" w:rsidP="001268F3">
      <w:pPr>
        <w:tabs>
          <w:tab w:val="left" w:pos="-2500"/>
        </w:tabs>
        <w:ind w:firstLine="700"/>
        <w:jc w:val="both"/>
      </w:pPr>
      <w:r w:rsidRPr="007541D2">
        <w:t xml:space="preserve">1.1. Власній земельній ділянці </w:t>
      </w:r>
      <w:r>
        <w:t>(кадастровий № 7410100000:02:046</w:t>
      </w:r>
      <w:r w:rsidRPr="007541D2">
        <w:t>:0</w:t>
      </w:r>
      <w:r>
        <w:t>595</w:t>
      </w:r>
      <w:r w:rsidRPr="007541D2">
        <w:t>), загальною площею 0,0</w:t>
      </w:r>
      <w:r>
        <w:t>95</w:t>
      </w:r>
      <w:r w:rsidRPr="007541D2">
        <w:t xml:space="preserve"> га, </w:t>
      </w:r>
      <w:r>
        <w:t xml:space="preserve">Малька Дениса Анатолійовича </w:t>
      </w:r>
      <w:r w:rsidRPr="007541D2">
        <w:t xml:space="preserve">по вулиці </w:t>
      </w:r>
      <w:r>
        <w:t xml:space="preserve">…, </w:t>
      </w:r>
      <w:r w:rsidRPr="007541D2">
        <w:t xml:space="preserve"> – вулиця </w:t>
      </w:r>
      <w:r>
        <w:t>…</w:t>
      </w:r>
      <w:r w:rsidRPr="007541D2">
        <w:t xml:space="preserve">, </w:t>
      </w:r>
      <w:r>
        <w:t>…</w:t>
      </w:r>
      <w:r w:rsidRPr="007541D2">
        <w:t xml:space="preserve"> (скорочена адреса – вул. </w:t>
      </w:r>
      <w:r>
        <w:t>…</w:t>
      </w:r>
      <w:r w:rsidRPr="007541D2">
        <w:t xml:space="preserve">, </w:t>
      </w:r>
      <w:r>
        <w:t>…</w:t>
      </w:r>
      <w:r w:rsidRPr="007541D2">
        <w:t>).</w:t>
      </w:r>
    </w:p>
    <w:p w:rsidR="001268F3" w:rsidRPr="001268F3" w:rsidRDefault="001268F3" w:rsidP="001268F3">
      <w:pPr>
        <w:tabs>
          <w:tab w:val="left" w:pos="-2500"/>
        </w:tabs>
        <w:ind w:firstLine="700"/>
        <w:jc w:val="both"/>
        <w:rPr>
          <w:sz w:val="22"/>
          <w:szCs w:val="22"/>
        </w:rPr>
      </w:pPr>
    </w:p>
    <w:p w:rsidR="001268F3" w:rsidRPr="007541D2" w:rsidRDefault="001268F3" w:rsidP="001268F3">
      <w:pPr>
        <w:tabs>
          <w:tab w:val="left" w:pos="-2500"/>
        </w:tabs>
        <w:ind w:firstLine="700"/>
        <w:jc w:val="both"/>
      </w:pPr>
      <w:r>
        <w:t>1.2</w:t>
      </w:r>
      <w:r w:rsidRPr="007541D2">
        <w:t xml:space="preserve">. Власній земельній ділянці </w:t>
      </w:r>
      <w:r>
        <w:t>(кадастровий № 7410100000:02:006</w:t>
      </w:r>
      <w:r w:rsidRPr="007541D2">
        <w:t>:0</w:t>
      </w:r>
      <w:r>
        <w:t>218</w:t>
      </w:r>
      <w:r w:rsidRPr="007541D2">
        <w:t>), загальною площею 0,0</w:t>
      </w:r>
      <w:r>
        <w:t>170</w:t>
      </w:r>
      <w:r w:rsidRPr="007541D2">
        <w:t xml:space="preserve"> га, </w:t>
      </w:r>
      <w:r>
        <w:t xml:space="preserve">Янгеля Віталія Михайловича </w:t>
      </w:r>
      <w:r w:rsidRPr="007541D2">
        <w:t xml:space="preserve">по </w:t>
      </w:r>
      <w:r>
        <w:t xml:space="preserve">…, … </w:t>
      </w:r>
      <w:r w:rsidRPr="007541D2">
        <w:t xml:space="preserve"> – </w:t>
      </w:r>
      <w:r>
        <w:t>… ,</w:t>
      </w:r>
      <w:r w:rsidRPr="007541D2">
        <w:t xml:space="preserve"> </w:t>
      </w:r>
      <w:r>
        <w:t>…</w:t>
      </w:r>
      <w:r w:rsidRPr="007541D2">
        <w:t xml:space="preserve"> (скорочена адреса – </w:t>
      </w:r>
      <w:r>
        <w:t>…</w:t>
      </w:r>
      <w:r w:rsidRPr="007541D2">
        <w:t xml:space="preserve">, </w:t>
      </w:r>
      <w:r>
        <w:t>…</w:t>
      </w:r>
      <w:r w:rsidRPr="007541D2">
        <w:t>).</w:t>
      </w:r>
    </w:p>
    <w:p w:rsidR="001268F3" w:rsidRPr="001268F3" w:rsidRDefault="001268F3" w:rsidP="001268F3">
      <w:pPr>
        <w:tabs>
          <w:tab w:val="left" w:pos="-2340"/>
        </w:tabs>
        <w:ind w:firstLine="708"/>
        <w:jc w:val="both"/>
        <w:rPr>
          <w:b/>
          <w:color w:val="auto"/>
          <w:sz w:val="24"/>
          <w:szCs w:val="24"/>
        </w:rPr>
      </w:pPr>
    </w:p>
    <w:p w:rsidR="001268F3" w:rsidRDefault="001268F3" w:rsidP="001268F3">
      <w:pPr>
        <w:tabs>
          <w:tab w:val="left" w:pos="-2340"/>
        </w:tabs>
        <w:jc w:val="both"/>
      </w:pPr>
      <w:r>
        <w:rPr>
          <w:color w:val="auto"/>
        </w:rPr>
        <w:tab/>
        <w:t xml:space="preserve">2. </w:t>
      </w:r>
      <w:r w:rsidRPr="001C2BDB">
        <w:rPr>
          <w:color w:val="auto"/>
        </w:rPr>
        <w:t>Внести зміни д</w:t>
      </w:r>
      <w:r>
        <w:t>о пункту 1.9</w:t>
      </w:r>
      <w:r w:rsidRPr="00130DA1">
        <w:t xml:space="preserve">. рішення виконавчого комітету Чернігівської міської ради від </w:t>
      </w:r>
      <w:r>
        <w:t>17</w:t>
      </w:r>
      <w:r w:rsidRPr="00130DA1">
        <w:t xml:space="preserve"> </w:t>
      </w:r>
      <w:r>
        <w:t>травня</w:t>
      </w:r>
      <w:r w:rsidRPr="00130DA1">
        <w:t xml:space="preserve"> 201</w:t>
      </w:r>
      <w:r>
        <w:t>8</w:t>
      </w:r>
      <w:r w:rsidRPr="00130DA1">
        <w:t xml:space="preserve"> року № 2</w:t>
      </w:r>
      <w:r>
        <w:t>33</w:t>
      </w:r>
      <w:r w:rsidRPr="00130DA1">
        <w:t xml:space="preserve"> «Про присвоєння та зміну поштових адрес об’єктам нерухомого майна» і викласти в такій редакції: «</w:t>
      </w:r>
      <w:r>
        <w:t xml:space="preserve">Власній земельній ділянці (кадастровий № 7410100000:02:046:0319),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</w:t>
      </w:r>
      <w:r w:rsidRPr="00130DA1">
        <w:t xml:space="preserve">та </w:t>
      </w:r>
      <w:r>
        <w:t>побудованому</w:t>
      </w:r>
      <w:r w:rsidRPr="00130DA1">
        <w:t xml:space="preserve"> </w:t>
      </w:r>
      <w:r w:rsidRPr="001C2BDB">
        <w:rPr>
          <w:color w:val="auto"/>
        </w:rPr>
        <w:t xml:space="preserve">житловому будинку, загальною площею 142,0 </w:t>
      </w:r>
      <w:proofErr w:type="spellStart"/>
      <w:r w:rsidRPr="001C2BDB"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t xml:space="preserve"> </w:t>
      </w:r>
      <w:proofErr w:type="spellStart"/>
      <w:r>
        <w:t>Казанцевої</w:t>
      </w:r>
      <w:proofErr w:type="spellEnd"/>
      <w:r>
        <w:t xml:space="preserve"> Валентини Василівни та </w:t>
      </w:r>
      <w:proofErr w:type="spellStart"/>
      <w:r>
        <w:t>Казанцева</w:t>
      </w:r>
      <w:proofErr w:type="spellEnd"/>
      <w:r>
        <w:t xml:space="preserve"> Василя Михайловича  по …, … – …, … (скорочена адреса – …, …)».</w:t>
      </w:r>
    </w:p>
    <w:p w:rsidR="001268F3" w:rsidRDefault="001268F3" w:rsidP="001268F3">
      <w:pPr>
        <w:tabs>
          <w:tab w:val="left" w:pos="-2340"/>
        </w:tabs>
        <w:ind w:firstLine="708"/>
        <w:jc w:val="both"/>
      </w:pPr>
    </w:p>
    <w:p w:rsidR="001268F3" w:rsidRPr="00130DA1" w:rsidRDefault="001268F3" w:rsidP="001268F3">
      <w:pPr>
        <w:tabs>
          <w:tab w:val="left" w:pos="-2340"/>
        </w:tabs>
        <w:ind w:firstLine="708"/>
        <w:jc w:val="both"/>
      </w:pPr>
      <w:r w:rsidRPr="00130DA1">
        <w:rPr>
          <w:color w:val="auto"/>
        </w:rPr>
        <w:t xml:space="preserve">3. Контроль за виконанням цього рішення покласти на заступника міського голови </w:t>
      </w:r>
      <w:r w:rsidRPr="00130DA1">
        <w:t>Атрощенка О. А.</w:t>
      </w:r>
    </w:p>
    <w:p w:rsidR="001268F3" w:rsidRDefault="001268F3" w:rsidP="001268F3">
      <w:pPr>
        <w:tabs>
          <w:tab w:val="left" w:pos="-2340"/>
        </w:tabs>
        <w:jc w:val="both"/>
      </w:pPr>
    </w:p>
    <w:p w:rsidR="001268F3" w:rsidRPr="00130DA1" w:rsidRDefault="001268F3" w:rsidP="001268F3">
      <w:pPr>
        <w:rPr>
          <w:color w:val="auto"/>
        </w:rPr>
      </w:pPr>
      <w:r w:rsidRPr="00130DA1">
        <w:rPr>
          <w:color w:val="auto"/>
        </w:rPr>
        <w:t>Міський голова</w:t>
      </w:r>
      <w:r w:rsidRPr="00130DA1">
        <w:rPr>
          <w:color w:val="auto"/>
        </w:rPr>
        <w:tab/>
        <w:t xml:space="preserve">                                                                              В. А. Атрошенко</w:t>
      </w:r>
    </w:p>
    <w:p w:rsidR="001268F3" w:rsidRPr="00130DA1" w:rsidRDefault="001268F3" w:rsidP="001268F3">
      <w:pPr>
        <w:rPr>
          <w:color w:val="auto"/>
        </w:rPr>
      </w:pPr>
    </w:p>
    <w:p w:rsidR="001268F3" w:rsidRDefault="001268F3" w:rsidP="001268F3">
      <w:r w:rsidRPr="00130DA1">
        <w:t xml:space="preserve">Секретар міської ради                                                                      М. П. Черненок    </w:t>
      </w:r>
    </w:p>
    <w:sectPr w:rsidR="001268F3" w:rsidSect="001268F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6472"/>
    <w:multiLevelType w:val="hybridMultilevel"/>
    <w:tmpl w:val="3454D522"/>
    <w:lvl w:ilvl="0" w:tplc="0EA4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3"/>
    <w:rsid w:val="001268F3"/>
    <w:rsid w:val="002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F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8F3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F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8F3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1</cp:revision>
  <dcterms:created xsi:type="dcterms:W3CDTF">2018-09-04T09:38:00Z</dcterms:created>
  <dcterms:modified xsi:type="dcterms:W3CDTF">2018-09-04T09:40:00Z</dcterms:modified>
</cp:coreProperties>
</file>