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71" w:rsidRPr="009C099F" w:rsidRDefault="00F77171" w:rsidP="00F77171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C099F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F77171" w:rsidRPr="009C099F" w:rsidRDefault="00F77171" w:rsidP="00F77171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C099F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F77171" w:rsidRPr="009C099F" w:rsidRDefault="00F77171" w:rsidP="00F77171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C099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97BB0" w:rsidRPr="00397BB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28</w:t>
      </w:r>
      <w:r w:rsidR="00397B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99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397BB0" w:rsidRPr="00397BB0">
        <w:rPr>
          <w:rFonts w:ascii="Times New Roman" w:hAnsi="Times New Roman" w:cs="Times New Roman"/>
          <w:sz w:val="28"/>
          <w:szCs w:val="28"/>
          <w:u w:val="single"/>
          <w:lang w:val="uk-UA"/>
        </w:rPr>
        <w:t>лютого</w:t>
      </w:r>
      <w:r w:rsidR="00397B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99F">
        <w:rPr>
          <w:rFonts w:ascii="Times New Roman" w:hAnsi="Times New Roman" w:cs="Times New Roman"/>
          <w:sz w:val="28"/>
          <w:szCs w:val="28"/>
          <w:lang w:val="uk-UA"/>
        </w:rPr>
        <w:t xml:space="preserve"> 2017 року</w:t>
      </w:r>
    </w:p>
    <w:p w:rsidR="00F77171" w:rsidRPr="00397BB0" w:rsidRDefault="00F77171" w:rsidP="00F77171">
      <w:pPr>
        <w:pStyle w:val="a3"/>
        <w:ind w:left="3540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77171">
        <w:rPr>
          <w:rFonts w:ascii="Times New Roman" w:hAnsi="Times New Roman" w:cs="Times New Roman"/>
          <w:sz w:val="28"/>
          <w:szCs w:val="28"/>
        </w:rPr>
        <w:t xml:space="preserve">   </w:t>
      </w:r>
      <w:r w:rsidRPr="009C099F">
        <w:rPr>
          <w:rFonts w:ascii="Times New Roman" w:hAnsi="Times New Roman" w:cs="Times New Roman"/>
          <w:sz w:val="28"/>
          <w:szCs w:val="28"/>
          <w:lang w:val="uk-UA"/>
        </w:rPr>
        <w:t xml:space="preserve">№ 16/VII - </w:t>
      </w:r>
      <w:r w:rsidR="00397BB0" w:rsidRPr="00397BB0">
        <w:rPr>
          <w:rFonts w:ascii="Times New Roman" w:hAnsi="Times New Roman" w:cs="Times New Roman"/>
          <w:sz w:val="28"/>
          <w:szCs w:val="28"/>
          <w:u w:val="single"/>
          <w:lang w:val="uk-UA"/>
        </w:rPr>
        <w:t>12</w:t>
      </w:r>
    </w:p>
    <w:p w:rsidR="00F77171" w:rsidRPr="00F77171" w:rsidRDefault="00F77171" w:rsidP="00F771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77171" w:rsidRPr="009C099F" w:rsidRDefault="00F77171" w:rsidP="00F7717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099F">
        <w:rPr>
          <w:rFonts w:ascii="Times New Roman" w:hAnsi="Times New Roman" w:cs="Times New Roman"/>
          <w:sz w:val="28"/>
          <w:szCs w:val="28"/>
          <w:lang w:val="uk-UA"/>
        </w:rPr>
        <w:t>Підпрограма «Шкільне харчування»</w:t>
      </w:r>
    </w:p>
    <w:p w:rsidR="00F77171" w:rsidRPr="009C099F" w:rsidRDefault="00F77171" w:rsidP="00F7717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77171" w:rsidRPr="009C099F" w:rsidRDefault="00F77171" w:rsidP="00F77171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>Харчування населення є глобальною соціально-економічною проблемою. За оцінками експертів Всесвітньої організації охорони здоров'я, стан здоров'я людини великою мірою залежить від способу життя, у тому числі і від харчуван</w:t>
      </w:r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ня.</w:t>
      </w:r>
    </w:p>
    <w:p w:rsidR="00F77171" w:rsidRPr="009C099F" w:rsidRDefault="00F77171" w:rsidP="00F771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Раціональне харчування, що відповідає фізіологічним потребам організму, який росте, забезпечує гармонійний розвиток дитини, підвищує її імунітет, стійкість до різних несприятливих факторів зовнішнього середовища. Сьогодні питання організації харчування дітей у навчальних закладах залишається одним із найбільш актуальних та заслуговує на особливу увагу ще й тому, що навчання у школі потребує високого розумового та фізичного навантаження й супроводжується значними енерговитратами. Діти, відвідуючи додаткові заняття, гуртки, секції, групи продовженого дня, нерідко проводять у школі по 6-7 годин. </w:t>
      </w:r>
    </w:p>
    <w:p w:rsidR="00F77171" w:rsidRPr="009C099F" w:rsidRDefault="00F77171" w:rsidP="00F77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ст. 6 Закону України «Про охорону дитинства», держава гарантує дитині право на охорону здоров'я, сприяє створенню безпечних умов для життя і здорового розвитку дитини, раціонального харчування, формування навичок здорового способу життя.</w:t>
      </w:r>
    </w:p>
    <w:p w:rsidR="00F77171" w:rsidRPr="009C099F" w:rsidRDefault="00F77171" w:rsidP="00F771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зі ст. 25 Закону України «Про освіту», у всіх навчальних закладах повинно бути організоване харчування. Відповідальність за організацію і здійснення харчування в загальноосвітніх навчальних закладах покладається на місцеві органи державної виконавчої влади та органи місцевого самоврядування.</w:t>
      </w:r>
    </w:p>
    <w:p w:rsidR="00F77171" w:rsidRPr="009C099F" w:rsidRDefault="00F77171" w:rsidP="00F771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освіти </w:t>
      </w:r>
      <w:r w:rsidRPr="009C099F">
        <w:rPr>
          <w:rFonts w:ascii="Times New Roman" w:eastAsia="Times New Roman" w:hAnsi="Times New Roman"/>
          <w:sz w:val="28"/>
          <w:szCs w:val="28"/>
          <w:lang w:val="uk-UA"/>
        </w:rPr>
        <w:t>Чернігівської міської ради</w:t>
      </w:r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забезпечує постійну координацію процесу організації харчування, систематичний контроль за харчовими нормами і якістю продукції, яка надходить до </w:t>
      </w:r>
      <w:proofErr w:type="spellStart"/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>їдалень</w:t>
      </w:r>
      <w:proofErr w:type="spellEnd"/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>, тримає на контролі організацію безоплатного харчування дітей-сиріт, дітей, позбавлених батьківського піклування, дітей із малозабезпечених сімей, які отримують допомогу відповідно до ст.5 Закону України «Про охорону дитинства»</w:t>
      </w:r>
      <w:r w:rsidRPr="009C099F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F77171" w:rsidRPr="009C099F" w:rsidRDefault="00F77171" w:rsidP="00F771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099F">
        <w:rPr>
          <w:rFonts w:ascii="Times New Roman" w:eastAsia="Times New Roman" w:hAnsi="Times New Roman"/>
          <w:sz w:val="28"/>
          <w:szCs w:val="28"/>
          <w:lang w:val="uk-UA"/>
        </w:rPr>
        <w:t xml:space="preserve">Вартість харчування та процес його організації визначений рішенням </w:t>
      </w:r>
      <w:r w:rsidRPr="009C099F">
        <w:rPr>
          <w:rStyle w:val="apple-converted-space"/>
          <w:rFonts w:ascii="Verdana" w:hAnsi="Verdana"/>
          <w:color w:val="000000"/>
          <w:sz w:val="20"/>
          <w:szCs w:val="20"/>
          <w:lang w:val="uk-UA"/>
        </w:rPr>
        <w:t> </w:t>
      </w:r>
      <w:r w:rsidRPr="009C099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виконавчого комітету Чернігівської міської ради від 28.01.2015 року № 16 «Про організацію харчування дітей в загальноосвітніх та дошкільних навчальних закладах міста» зі змінами.</w:t>
      </w:r>
    </w:p>
    <w:p w:rsidR="00F77171" w:rsidRPr="009C099F" w:rsidRDefault="00F77171" w:rsidP="00F77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загальноосвітні навчальні заклади комунальної форми власності мають приміщення </w:t>
      </w:r>
      <w:proofErr w:type="spellStart"/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>їдалень</w:t>
      </w:r>
      <w:proofErr w:type="spellEnd"/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харчоблоки з необхідним обладнанням, в яких створені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всі необхідні </w:t>
      </w:r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>умови для організації гарячого харчування школярів та забезпечення учнів буфетною продукцією власного виробництва.</w:t>
      </w:r>
      <w:bookmarkStart w:id="0" w:name="_GoBack"/>
      <w:bookmarkEnd w:id="0"/>
    </w:p>
    <w:p w:rsidR="00F77171" w:rsidRDefault="00F77171" w:rsidP="00F77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F40AA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lastRenderedPageBreak/>
        <w:t>Організація харчування учнів загальноосвітніх навчальних закладів</w:t>
      </w:r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це процес, який пов'язаний з виробництвом, приготуванням, </w:t>
      </w:r>
      <w:proofErr w:type="spellStart"/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>видачею</w:t>
      </w:r>
      <w:proofErr w:type="spellEnd"/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їжі, накриттям та прибиранням столів, підтриманням у чистоті приміщень </w:t>
      </w:r>
      <w:proofErr w:type="spellStart"/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>їдалень</w:t>
      </w:r>
      <w:proofErr w:type="spellEnd"/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контролем за якістю харчових продуктів.</w:t>
      </w:r>
    </w:p>
    <w:p w:rsidR="00F77171" w:rsidRPr="00D53651" w:rsidRDefault="00F77171" w:rsidP="00F77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Єдина </w:t>
      </w:r>
      <w:r w:rsidRPr="00D5365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систем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а</w:t>
      </w:r>
      <w:r w:rsidRPr="00D5365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організації харчування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це визначений уніфікований підхід до процесу організації харчування у всіх загальноосвітніх навчальних закладах міста Чернігова, що полягає у впровадженні єдиного циклічного меню, управлінні системою організації харчування та здійсненні дієвого </w:t>
      </w:r>
      <w:r w:rsidRPr="000D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</w:t>
      </w:r>
      <w:r w:rsidRPr="000D4F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онтролю</w:t>
      </w:r>
      <w:r w:rsidRPr="00A823E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D4F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якістю та безпекою, дотриманням термінів, умов зберігання та реалізації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харчових </w:t>
      </w:r>
      <w:r w:rsidRPr="000D4F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продуктів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77171" w:rsidRPr="009C099F" w:rsidRDefault="00F77171" w:rsidP="00F77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0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Створення єдиної системи організації харчування передбачає наявність єдиного організатора харчування в усіх загальноосвітніх навчальних закладах комунальної форми власності. У місті Чернігові даним організатором харчування визначається комунальне підприємство «Шкільне» Чернігівської міської ради, яке створене </w:t>
      </w:r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надання послуг з організації  харчування учнів в загальноосвітніх навчальних закладах, коледжах, ліцеях, дитячих дошкільних закладах,</w:t>
      </w:r>
      <w:r w:rsidRPr="009C0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підконтрольного і підзвітного Чернігівській міській раді.</w:t>
      </w:r>
    </w:p>
    <w:p w:rsidR="00F77171" w:rsidRPr="009C099F" w:rsidRDefault="00F77171" w:rsidP="00F77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Фінансування харчування </w:t>
      </w:r>
      <w:r w:rsidRPr="009C099F">
        <w:rPr>
          <w:rFonts w:ascii="Times New Roman" w:eastAsia="Times New Roman" w:hAnsi="Times New Roman"/>
          <w:sz w:val="28"/>
          <w:szCs w:val="28"/>
          <w:lang w:val="uk-UA"/>
        </w:rPr>
        <w:t xml:space="preserve">пільгових категорій учнів </w:t>
      </w:r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загальноосвітніх навчальних закладах відбувається за рахунок міського бюджету, процес організації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харчування здійснюється</w:t>
      </w:r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им</w:t>
      </w:r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підприємство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«Шкільне» Чернігівської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яке діє на некомерційних засадах, інші учні </w:t>
      </w:r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навчальних заклад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харчуються за рахунок коштів батьків.</w:t>
      </w:r>
    </w:p>
    <w:p w:rsidR="00F77171" w:rsidRPr="009C099F" w:rsidRDefault="00F77171" w:rsidP="00F771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9C09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10 квітня 2017 року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9C099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омунальне підприємство «Шкільне» Чернігівської міської ради є одержувачем бюджетних коштів за видатками головного розпорядника бюджетних коштів – управління освіти Чернігівської міської ради на організацію та забезпечення харчування учнів загальноосвітніх навчальних закладів м. Чернігова.</w:t>
      </w:r>
    </w:p>
    <w:p w:rsidR="00F77171" w:rsidRPr="009C099F" w:rsidRDefault="00F77171" w:rsidP="00F77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77171" w:rsidRPr="009C099F" w:rsidRDefault="00F77171" w:rsidP="00F77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C099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Завдання:</w:t>
      </w:r>
    </w:p>
    <w:p w:rsidR="00F77171" w:rsidRPr="009C099F" w:rsidRDefault="00F77171" w:rsidP="00F77171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>Удосконалення управління системою організації харчування з метою оптимізації витрат на її функціонування та збільшення кількості учнів загальноосвітніх навчальних закладів, охоплених харчуванням.</w:t>
      </w:r>
    </w:p>
    <w:p w:rsidR="00F77171" w:rsidRPr="009C099F" w:rsidRDefault="00F77171" w:rsidP="00F77171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Підвищення якості та створення умов для повноцінного гарячого харчування учнів загальноосвітніх навчальних закладів м. Чернігова.</w:t>
      </w:r>
    </w:p>
    <w:p w:rsidR="00F77171" w:rsidRPr="009C099F" w:rsidRDefault="00F77171" w:rsidP="00F77171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безкоштовним харчуванням учнів загальноосвітніх навчальних закладів на пільгових умовах, відповідно до рішення </w:t>
      </w:r>
      <w:r w:rsidRPr="009C099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виконавчого комітету Чернігівської міської ради від 28.01.2015 року № 16 «Про організацію харчування дітей в загальноосвітніх та дошкільних навчальних закладах міста» зі змінами.</w:t>
      </w:r>
    </w:p>
    <w:p w:rsidR="00F77171" w:rsidRPr="009C099F" w:rsidRDefault="00F77171" w:rsidP="00F77171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F77171" w:rsidRPr="009C099F" w:rsidRDefault="00F77171" w:rsidP="00F77171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C099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Очікувані результати:</w:t>
      </w:r>
    </w:p>
    <w:p w:rsidR="00F77171" w:rsidRPr="009C099F" w:rsidRDefault="00F77171" w:rsidP="00F77171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099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>творення єдиної системи харчування</w:t>
      </w:r>
      <w:r w:rsidRPr="009C099F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умов, що сприяють зміцненню </w:t>
      </w:r>
      <w:r w:rsidRPr="009C099F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школярів, їх гармонійному розвитку.</w:t>
      </w:r>
    </w:p>
    <w:p w:rsidR="00F77171" w:rsidRPr="009C099F" w:rsidRDefault="00F77171" w:rsidP="00F77171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099F">
        <w:rPr>
          <w:rFonts w:ascii="Times New Roman" w:hAnsi="Times New Roman" w:cs="Times New Roman"/>
          <w:sz w:val="28"/>
          <w:szCs w:val="28"/>
          <w:lang w:val="uk-UA"/>
        </w:rPr>
        <w:lastRenderedPageBreak/>
        <w:t>П</w:t>
      </w:r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>оліпшення якості харчування школярів</w:t>
      </w:r>
      <w:r w:rsidRPr="009C099F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 навичок правильного та здорового харчування.</w:t>
      </w:r>
    </w:p>
    <w:p w:rsidR="00F77171" w:rsidRPr="000D4FEF" w:rsidRDefault="00F77171" w:rsidP="00F77171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099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C099F">
        <w:rPr>
          <w:rFonts w:ascii="Times New Roman" w:eastAsia="Times New Roman" w:hAnsi="Times New Roman" w:cs="Times New Roman"/>
          <w:sz w:val="28"/>
          <w:szCs w:val="28"/>
          <w:lang w:val="uk-UA"/>
        </w:rPr>
        <w:t>провадження нових техн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ологій в організації харчування.</w:t>
      </w:r>
    </w:p>
    <w:p w:rsidR="00F77171" w:rsidRDefault="00F77171" w:rsidP="00F771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77171" w:rsidRPr="009C099F" w:rsidRDefault="00F77171" w:rsidP="00F771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C099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Основні заходи </w:t>
      </w:r>
    </w:p>
    <w:p w:rsidR="00F77171" w:rsidRPr="009C099F" w:rsidRDefault="00F77171" w:rsidP="00F771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992"/>
        <w:gridCol w:w="1843"/>
        <w:gridCol w:w="1276"/>
        <w:gridCol w:w="1417"/>
      </w:tblGrid>
      <w:tr w:rsidR="00F77171" w:rsidRPr="009C099F" w:rsidTr="00EF57E6">
        <w:tc>
          <w:tcPr>
            <w:tcW w:w="675" w:type="dxa"/>
            <w:vMerge w:val="restart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686" w:type="dxa"/>
            <w:vMerge w:val="restart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Заходи та показники виконання заходів</w:t>
            </w:r>
          </w:p>
        </w:tc>
        <w:tc>
          <w:tcPr>
            <w:tcW w:w="992" w:type="dxa"/>
            <w:vMerge w:val="restart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843" w:type="dxa"/>
            <w:vMerge w:val="restart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Виконавці заходу</w:t>
            </w:r>
          </w:p>
        </w:tc>
        <w:tc>
          <w:tcPr>
            <w:tcW w:w="2693" w:type="dxa"/>
            <w:gridSpan w:val="2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Орієнтовані обсяги видатків</w:t>
            </w:r>
          </w:p>
        </w:tc>
      </w:tr>
      <w:tr w:rsidR="00F77171" w:rsidRPr="009C099F" w:rsidTr="00EF57E6">
        <w:tc>
          <w:tcPr>
            <w:tcW w:w="675" w:type="dxa"/>
            <w:vMerge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Джерела</w:t>
            </w:r>
          </w:p>
        </w:tc>
        <w:tc>
          <w:tcPr>
            <w:tcW w:w="1417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Обсяги, грн.</w:t>
            </w:r>
          </w:p>
        </w:tc>
      </w:tr>
      <w:tr w:rsidR="00F77171" w:rsidRPr="009C099F" w:rsidTr="00EF57E6">
        <w:tc>
          <w:tcPr>
            <w:tcW w:w="675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86" w:type="dxa"/>
          </w:tcPr>
          <w:p w:rsidR="00F77171" w:rsidRPr="009C099F" w:rsidRDefault="00F77171" w:rsidP="00A20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Створення єдиної системи організації харчування у загальноосвітніх навчальних закладах</w:t>
            </w:r>
          </w:p>
        </w:tc>
        <w:tc>
          <w:tcPr>
            <w:tcW w:w="992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843" w:type="dxa"/>
          </w:tcPr>
          <w:p w:rsidR="00F77171" w:rsidRPr="009C099F" w:rsidRDefault="00F77171" w:rsidP="00A20E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Управління освіти</w:t>
            </w:r>
            <w:r w:rsidRPr="009C09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</w:t>
            </w: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загальноосвітні навчальні заклади</w:t>
            </w:r>
          </w:p>
          <w:p w:rsidR="00F77171" w:rsidRPr="001A5F07" w:rsidRDefault="00F77171" w:rsidP="00A20E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м. Чернігова</w:t>
            </w:r>
          </w:p>
        </w:tc>
        <w:tc>
          <w:tcPr>
            <w:tcW w:w="1276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417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77171" w:rsidRPr="009C099F" w:rsidTr="00EF57E6">
        <w:tc>
          <w:tcPr>
            <w:tcW w:w="675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86" w:type="dxa"/>
          </w:tcPr>
          <w:p w:rsidR="00F77171" w:rsidRPr="009C099F" w:rsidRDefault="00F77171" w:rsidP="00A20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Оформлення інформаційних куточків для учнів та батьків </w:t>
            </w:r>
            <w:r w:rsidRPr="009C09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з приводу питань, пов’язаних з організацією правильного </w:t>
            </w: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харчування дітей</w:t>
            </w:r>
          </w:p>
        </w:tc>
        <w:tc>
          <w:tcPr>
            <w:tcW w:w="992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843" w:type="dxa"/>
          </w:tcPr>
          <w:p w:rsidR="00F77171" w:rsidRPr="009C099F" w:rsidRDefault="00F77171" w:rsidP="00A20E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Управління освіти</w:t>
            </w:r>
            <w:r w:rsidRPr="009C09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</w:t>
            </w: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загальноосвітні навчальні заклади</w:t>
            </w:r>
          </w:p>
          <w:p w:rsidR="00F77171" w:rsidRPr="001A5F07" w:rsidRDefault="00F77171" w:rsidP="00A20E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м. Чернігова</w:t>
            </w:r>
          </w:p>
        </w:tc>
        <w:tc>
          <w:tcPr>
            <w:tcW w:w="1276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417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77171" w:rsidRPr="009C099F" w:rsidTr="00EF57E6">
        <w:tc>
          <w:tcPr>
            <w:tcW w:w="675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86" w:type="dxa"/>
          </w:tcPr>
          <w:p w:rsidR="00F77171" w:rsidRPr="009C099F" w:rsidRDefault="00F77171" w:rsidP="00A20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Залучення працівників вищих навчальних закладів, медичних установ і наукових центрів до профорієнтаційної та санітарно - просвітницької роботи зі школярами щодо правильного харчування і гігієни.</w:t>
            </w:r>
          </w:p>
        </w:tc>
        <w:tc>
          <w:tcPr>
            <w:tcW w:w="992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</w:tc>
        <w:tc>
          <w:tcPr>
            <w:tcW w:w="1843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Управління освіти</w:t>
            </w:r>
            <w:r w:rsidRPr="009C09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управління охорони здоров’я</w:t>
            </w:r>
          </w:p>
        </w:tc>
        <w:tc>
          <w:tcPr>
            <w:tcW w:w="1276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417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77171" w:rsidRPr="009C099F" w:rsidTr="00EF57E6">
        <w:tc>
          <w:tcPr>
            <w:tcW w:w="675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86" w:type="dxa"/>
          </w:tcPr>
          <w:p w:rsidR="00F77171" w:rsidRPr="009C099F" w:rsidRDefault="00F77171" w:rsidP="00A20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Організація раціонального харчування учнів </w:t>
            </w:r>
            <w:r w:rsidRPr="009C09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-11 класів, у тому числі пільгових категорій, з урахуванням віку і стану здоров'я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</w:t>
            </w: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відповідно до рішення </w:t>
            </w:r>
            <w:r w:rsidRPr="009C09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виконавчого комітету Чернігівської міської ради від 28.01.2015 року № 16 «Про організацію харчування дітей в загальноосвітніх та дошкільних навчальних закладах міста» зі змінами.</w:t>
            </w:r>
          </w:p>
        </w:tc>
        <w:tc>
          <w:tcPr>
            <w:tcW w:w="992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</w:tc>
        <w:tc>
          <w:tcPr>
            <w:tcW w:w="1843" w:type="dxa"/>
          </w:tcPr>
          <w:p w:rsidR="00F77171" w:rsidRPr="009C099F" w:rsidRDefault="00F77171" w:rsidP="00A20E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Управління освіти</w:t>
            </w:r>
            <w:r w:rsidRPr="009C09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</w:p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КП «Шкільне»</w:t>
            </w:r>
          </w:p>
        </w:tc>
        <w:tc>
          <w:tcPr>
            <w:tcW w:w="1276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МБ, власні кошти підприємства, включаючи кошти батьків</w:t>
            </w:r>
          </w:p>
        </w:tc>
        <w:tc>
          <w:tcPr>
            <w:tcW w:w="1417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Згідно з кошторисом управління освіти та фінансовим планом</w:t>
            </w:r>
          </w:p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КП</w:t>
            </w:r>
          </w:p>
        </w:tc>
      </w:tr>
      <w:tr w:rsidR="00F77171" w:rsidRPr="009C099F" w:rsidTr="00EF57E6">
        <w:tc>
          <w:tcPr>
            <w:tcW w:w="675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86" w:type="dxa"/>
          </w:tcPr>
          <w:p w:rsidR="00F77171" w:rsidRPr="009C099F" w:rsidRDefault="00F77171" w:rsidP="00A20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Організація харчування </w:t>
            </w:r>
            <w:r w:rsidRPr="009C09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учнів, під час їх перебування у літніх пришкільних таборах </w:t>
            </w:r>
          </w:p>
        </w:tc>
        <w:tc>
          <w:tcPr>
            <w:tcW w:w="992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</w:tc>
        <w:tc>
          <w:tcPr>
            <w:tcW w:w="1843" w:type="dxa"/>
          </w:tcPr>
          <w:p w:rsidR="00F77171" w:rsidRPr="009C099F" w:rsidRDefault="00F77171" w:rsidP="00A20E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Управління освіти</w:t>
            </w:r>
            <w:r w:rsidRPr="009C09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</w:t>
            </w:r>
          </w:p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КП «Шкільне»</w:t>
            </w:r>
          </w:p>
        </w:tc>
        <w:tc>
          <w:tcPr>
            <w:tcW w:w="1276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МБ, власні кошти підприємства, включаючи кошти батьків</w:t>
            </w:r>
          </w:p>
        </w:tc>
        <w:tc>
          <w:tcPr>
            <w:tcW w:w="1417" w:type="dxa"/>
          </w:tcPr>
          <w:p w:rsidR="00F77171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Згідно з кошторисом управління освіти та фінансовим планом КП</w:t>
            </w:r>
          </w:p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7171" w:rsidRPr="009C099F" w:rsidTr="00EF57E6">
        <w:tc>
          <w:tcPr>
            <w:tcW w:w="675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86" w:type="dxa"/>
          </w:tcPr>
          <w:p w:rsidR="00F77171" w:rsidRPr="009C099F" w:rsidRDefault="00F77171" w:rsidP="00A20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Проведення тематичних </w:t>
            </w: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перевірок щодо організації харчування у загальноосвітніх навчальних закладах, здійснення громадського контролю за роботою </w:t>
            </w:r>
            <w:proofErr w:type="spellStart"/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їдалень</w:t>
            </w:r>
            <w:proofErr w:type="spellEnd"/>
          </w:p>
        </w:tc>
        <w:tc>
          <w:tcPr>
            <w:tcW w:w="992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2017-</w:t>
            </w: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</w:t>
            </w:r>
          </w:p>
        </w:tc>
        <w:tc>
          <w:tcPr>
            <w:tcW w:w="1843" w:type="dxa"/>
          </w:tcPr>
          <w:p w:rsidR="00F77171" w:rsidRPr="009C099F" w:rsidRDefault="00F77171" w:rsidP="00A20E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Управління </w:t>
            </w: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освіти</w:t>
            </w:r>
            <w:r w:rsidRPr="009C09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</w:t>
            </w: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загальноосвітні навчальні заклади</w:t>
            </w:r>
          </w:p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м. Чернігова</w:t>
            </w:r>
            <w:r w:rsidRPr="009C09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органи громадського самоврядування (батьківський комітет)</w:t>
            </w:r>
          </w:p>
        </w:tc>
        <w:tc>
          <w:tcPr>
            <w:tcW w:w="1276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Фінансув</w:t>
            </w: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ання не потребує</w:t>
            </w:r>
          </w:p>
        </w:tc>
        <w:tc>
          <w:tcPr>
            <w:tcW w:w="1417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</w:tr>
      <w:tr w:rsidR="00F77171" w:rsidRPr="009C099F" w:rsidTr="00EF57E6">
        <w:tc>
          <w:tcPr>
            <w:tcW w:w="675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3686" w:type="dxa"/>
          </w:tcPr>
          <w:p w:rsidR="00F77171" w:rsidRPr="009C099F" w:rsidRDefault="00F77171" w:rsidP="00A20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C09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Контроль за якістю</w:t>
            </w: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та безпекою, дотриманням термінів, умов зберігання та реалізації продуктів, за поставкою продуктів харчування безпосередньо від товаровиробників з наявністю сертифікатів відповідності, посвідчень про якість і ветеринарних супровідних документів</w:t>
            </w:r>
            <w:r w:rsidRPr="009C09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  <w:p w:rsidR="00F77171" w:rsidRPr="009C099F" w:rsidRDefault="00F77171" w:rsidP="00A20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</w:tc>
        <w:tc>
          <w:tcPr>
            <w:tcW w:w="1843" w:type="dxa"/>
          </w:tcPr>
          <w:p w:rsidR="00F77171" w:rsidRPr="009C099F" w:rsidRDefault="00F77171" w:rsidP="00A20E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C09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Органи громадського самоврядування (батьківський комітет),</w:t>
            </w:r>
          </w:p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КП «Шкільне»</w:t>
            </w:r>
          </w:p>
        </w:tc>
        <w:tc>
          <w:tcPr>
            <w:tcW w:w="1276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417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77171" w:rsidRPr="009C099F" w:rsidTr="00EF57E6">
        <w:tc>
          <w:tcPr>
            <w:tcW w:w="675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686" w:type="dxa"/>
          </w:tcPr>
          <w:p w:rsidR="00F77171" w:rsidRPr="009C099F" w:rsidRDefault="00F77171" w:rsidP="00A20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Організація навчання та удосконалення професійної майстерності персоналу з питань приготування та використання у харчуванні дітей продуктів і кулінарних виробів підвищеної харчової та біологічної цінності</w:t>
            </w:r>
            <w:r w:rsidRPr="009C09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992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2017-2021</w:t>
            </w:r>
          </w:p>
        </w:tc>
        <w:tc>
          <w:tcPr>
            <w:tcW w:w="1843" w:type="dxa"/>
          </w:tcPr>
          <w:p w:rsidR="00F77171" w:rsidRPr="009C099F" w:rsidRDefault="00F77171" w:rsidP="00A20E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C09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КП «Шкільне»</w:t>
            </w:r>
          </w:p>
        </w:tc>
        <w:tc>
          <w:tcPr>
            <w:tcW w:w="1276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Власні кошти підприємства</w:t>
            </w:r>
          </w:p>
        </w:tc>
        <w:tc>
          <w:tcPr>
            <w:tcW w:w="1417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Згідно з фінансовим планом КП</w:t>
            </w:r>
          </w:p>
        </w:tc>
      </w:tr>
      <w:tr w:rsidR="00F77171" w:rsidRPr="009C099F" w:rsidTr="00EF57E6">
        <w:tc>
          <w:tcPr>
            <w:tcW w:w="675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686" w:type="dxa"/>
          </w:tcPr>
          <w:p w:rsidR="00F77171" w:rsidRPr="009C099F" w:rsidRDefault="00F77171" w:rsidP="00A20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Організація роботи щодо підготовки шкільних </w:t>
            </w:r>
            <w:proofErr w:type="spellStart"/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їдалень</w:t>
            </w:r>
            <w:proofErr w:type="spellEnd"/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до початку нового навчального року</w:t>
            </w:r>
          </w:p>
        </w:tc>
        <w:tc>
          <w:tcPr>
            <w:tcW w:w="992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Щорічно, </w:t>
            </w:r>
          </w:p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15 серпня</w:t>
            </w:r>
          </w:p>
        </w:tc>
        <w:tc>
          <w:tcPr>
            <w:tcW w:w="1843" w:type="dxa"/>
          </w:tcPr>
          <w:p w:rsidR="00F77171" w:rsidRPr="009C099F" w:rsidRDefault="00F77171" w:rsidP="00A20E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C09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КП «Шкільне»</w:t>
            </w:r>
          </w:p>
        </w:tc>
        <w:tc>
          <w:tcPr>
            <w:tcW w:w="1276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МБ, власні кошти підприємства</w:t>
            </w:r>
          </w:p>
        </w:tc>
        <w:tc>
          <w:tcPr>
            <w:tcW w:w="1417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Згідно з кошторисом та фінансовим планом КП</w:t>
            </w:r>
          </w:p>
        </w:tc>
      </w:tr>
      <w:tr w:rsidR="00F77171" w:rsidRPr="009C099F" w:rsidTr="00EF57E6">
        <w:tc>
          <w:tcPr>
            <w:tcW w:w="675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686" w:type="dxa"/>
          </w:tcPr>
          <w:p w:rsidR="00F77171" w:rsidRPr="009C099F" w:rsidRDefault="00F77171" w:rsidP="00A20E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Організація конкурсів «На кращу шкільну їдальню», «На кращого </w:t>
            </w:r>
            <w:proofErr w:type="spellStart"/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кухаря</w:t>
            </w:r>
            <w:proofErr w:type="spellEnd"/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992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Щорічно, січень-травень</w:t>
            </w:r>
          </w:p>
        </w:tc>
        <w:tc>
          <w:tcPr>
            <w:tcW w:w="1843" w:type="dxa"/>
          </w:tcPr>
          <w:p w:rsidR="00F77171" w:rsidRPr="009C099F" w:rsidRDefault="00F77171" w:rsidP="00A20E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Управління освіти</w:t>
            </w:r>
            <w:r w:rsidRPr="009C09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</w:t>
            </w: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загальноосвітні навчальні заклади</w:t>
            </w:r>
          </w:p>
          <w:p w:rsidR="00F77171" w:rsidRPr="009C099F" w:rsidRDefault="00F77171" w:rsidP="00A20E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C0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м. Чернігова</w:t>
            </w:r>
            <w:r w:rsidRPr="009C09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КП «Шкільне»</w:t>
            </w:r>
          </w:p>
        </w:tc>
        <w:tc>
          <w:tcPr>
            <w:tcW w:w="1276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Власні кошти підприємства</w:t>
            </w:r>
          </w:p>
        </w:tc>
        <w:tc>
          <w:tcPr>
            <w:tcW w:w="1417" w:type="dxa"/>
          </w:tcPr>
          <w:p w:rsidR="00F77171" w:rsidRPr="009C099F" w:rsidRDefault="00F77171" w:rsidP="00A2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C09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Згідно з фінансовим планом КП</w:t>
            </w:r>
          </w:p>
        </w:tc>
      </w:tr>
    </w:tbl>
    <w:p w:rsidR="00F77171" w:rsidRPr="009C099F" w:rsidRDefault="00F77171" w:rsidP="00F7717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7171" w:rsidRPr="009C099F" w:rsidRDefault="00F77171" w:rsidP="00F7717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2E4C" w:rsidRPr="00F77171" w:rsidRDefault="001E2E4C">
      <w:pPr>
        <w:rPr>
          <w:lang w:val="uk-UA"/>
        </w:rPr>
      </w:pPr>
    </w:p>
    <w:sectPr w:rsidR="001E2E4C" w:rsidRPr="00F7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9558F"/>
    <w:multiLevelType w:val="hybridMultilevel"/>
    <w:tmpl w:val="296A0D8C"/>
    <w:lvl w:ilvl="0" w:tplc="02608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C13F92"/>
    <w:multiLevelType w:val="hybridMultilevel"/>
    <w:tmpl w:val="FE42E9FE"/>
    <w:lvl w:ilvl="0" w:tplc="99083DC8">
      <w:start w:val="1"/>
      <w:numFmt w:val="decimal"/>
      <w:lvlText w:val="%1."/>
      <w:lvlJc w:val="left"/>
      <w:pPr>
        <w:ind w:left="149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AD4"/>
    <w:rsid w:val="001E2E4C"/>
    <w:rsid w:val="00397BB0"/>
    <w:rsid w:val="00CD3AD4"/>
    <w:rsid w:val="00EF57E6"/>
    <w:rsid w:val="00F7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717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F77171"/>
    <w:pPr>
      <w:ind w:left="720"/>
      <w:contextualSpacing/>
    </w:pPr>
  </w:style>
  <w:style w:type="character" w:customStyle="1" w:styleId="apple-converted-space">
    <w:name w:val="apple-converted-space"/>
    <w:basedOn w:val="a0"/>
    <w:rsid w:val="00F77171"/>
  </w:style>
  <w:style w:type="table" w:styleId="a5">
    <w:name w:val="Table Grid"/>
    <w:basedOn w:val="a1"/>
    <w:uiPriority w:val="59"/>
    <w:rsid w:val="00F771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717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F77171"/>
    <w:pPr>
      <w:ind w:left="720"/>
      <w:contextualSpacing/>
    </w:pPr>
  </w:style>
  <w:style w:type="character" w:customStyle="1" w:styleId="apple-converted-space">
    <w:name w:val="apple-converted-space"/>
    <w:basedOn w:val="a0"/>
    <w:rsid w:val="00F77171"/>
  </w:style>
  <w:style w:type="table" w:styleId="a5">
    <w:name w:val="Table Grid"/>
    <w:basedOn w:val="a1"/>
    <w:uiPriority w:val="59"/>
    <w:rsid w:val="00F771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1222</Words>
  <Characters>6968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М. Довбиш</dc:creator>
  <cp:keywords/>
  <dc:description/>
  <cp:lastModifiedBy>Світлана А. Горбач</cp:lastModifiedBy>
  <cp:revision>4</cp:revision>
  <dcterms:created xsi:type="dcterms:W3CDTF">2017-02-17T07:24:00Z</dcterms:created>
  <dcterms:modified xsi:type="dcterms:W3CDTF">2017-03-06T06:34:00Z</dcterms:modified>
</cp:coreProperties>
</file>