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ind w:left="4956" w:right="0" w:firstLine="708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Додаток</w:t>
      </w:r>
    </w:p>
    <w:p>
      <w:pPr>
        <w:pStyle w:val="Style19"/>
        <w:ind w:left="5664" w:right="0" w:hanging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до рішення виконавчого комітету Чернігівської міської ради від</w:t>
      </w:r>
    </w:p>
    <w:p>
      <w:pPr>
        <w:pStyle w:val="Style19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ab/>
        <w:tab/>
        <w:tab/>
        <w:tab/>
        <w:tab/>
        <w:tab/>
        <w:tab/>
        <w:tab/>
        <w:t>_____________ 2019 року № ___</w:t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/>
        </w:rPr>
        <w:t>Перелік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 xml:space="preserve"> тимчасових (металевих) гаражів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5"/>
        <w:gridCol w:w="3044"/>
        <w:gridCol w:w="3225"/>
        <w:gridCol w:w="3170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Адреса тимчасового металевого гаража,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  вул. Любецьк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1189.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Шестак В.А.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інформаційне повідомлення № 1190.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 інформаційне повідомлення № 1194</w:t>
            </w: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 ході перевірки встановлено власника гаражу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 xml:space="preserve"> Сечевиця В.В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Борщ С.В.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Денисенка С.А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Зубок С.В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Зубок С.В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1199.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1200.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 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Марусик Д.М.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1203.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Пархоменко К.А.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Любецька, поруч із будинком № 44а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Новик В.М.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19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 ході перевірки встановлено власника гаражу Короїд А.В.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Нафтовиків, поруч із будинком № 19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1209.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 xml:space="preserve">В ході перевірки встановлено власника гаражу Ровник В.Ф.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1а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1210.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4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155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4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4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1213</w:t>
            </w: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ab/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63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м. Чернігів, 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4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1214.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м. Чернігів, вул. Нафтовиків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, поруч із будинком № 4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1215.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 вул.  Кочерги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9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 інформаційне повідомлення № 1216.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 ході перевірки встановлено власника гаражу Кудря В.Ф.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 вул.  Кочерги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9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1217.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Редькович Л.В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</w:tbl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/>
      </w:r>
    </w:p>
    <w:p>
      <w:pPr>
        <w:pStyle w:val="Style19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Секретар міської ради                                                                      М. ЧЕРНЕНОК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1134</TotalTime>
  <Application>LibreOffice/6.0.7.3$Linux_X86_64 LibreOffice_project/00m0$Build-3</Application>
  <Pages>4</Pages>
  <Words>1107</Words>
  <Characters>6368</Characters>
  <CharactersWithSpaces>7443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2019-08-06T08:29:14Z</dcterms:modified>
  <cp:revision>393</cp:revision>
  <dc:subject/>
  <dc:title/>
</cp:coreProperties>
</file>