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 xml:space="preserve">26 грудня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2024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>851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10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3"/>
        <w:gridCol w:w="2887"/>
        <w:gridCol w:w="6760"/>
      </w:tblGrid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Дєдіков Ігор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Карасевич Денис Сергійович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з патрулювання та рейдової роботи, секретар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</w:rPr>
              <w:t>5.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Гаценко Олег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</w:rPr>
              <w:t>6.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Потапов Денис Андрійович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відділу комунального господарства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LibreOffice/7.3.7.2$Linux_X86_64 LibreOffice_project/30$Build-2</Application>
  <AppVersion>15.0000</AppVersion>
  <Pages>2</Pages>
  <Words>172</Words>
  <Characters>1269</Characters>
  <CharactersWithSpaces>1480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2024-11-28T13:39:33Z</cp:lastPrinted>
  <dcterms:modified xsi:type="dcterms:W3CDTF">2024-12-27T09:52:23Z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