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7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«Про демонтаж тимчасових об’єктів</w:t>
      </w:r>
      <w:bookmarkStart w:id="0" w:name="__DdeLink__50_4037355792"/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(металевих гаражів) </w:t>
      </w:r>
      <w:bookmarkEnd w:id="0"/>
      <w:r>
        <w:rPr>
          <w:rFonts w:cs="Liberation Serif;Times New Roman" w:ascii="Liberation Serif;Times New Roman" w:hAnsi="Liberation Serif;Times New Roman"/>
          <w:sz w:val="28"/>
          <w:szCs w:val="28"/>
        </w:rPr>
        <w:br/>
        <w:t>на території м. Чернігова»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24.12.2019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відносяться і металеві гаражі.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 xml:space="preserve">незаконне розміщення 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>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Рішенням виконавчого комітету Чернігівської міської ради від 16 січня 2020 року № 15 (зі змінами) затверджені склад комісії з демонтажу незаконно розміщених обʼєктів на території міста Чернігова (далі — Комісія з демонтажу), а також Положення про комісію з демонтажу незаконно розміщених обʼєктів на території міста Чернігова (далі — Положення).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22 червня 2023 року Комісією з демонтажу прийняте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виконавчому комітету Чернігівської міської ради питання </w:t>
      </w:r>
      <w:bookmarkStart w:id="1" w:name="__DdeLink__5152_3105282619"/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щодо демонтажу незаконно встановлених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тимчасових об’єктів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  <w:bookmarkEnd w:id="1"/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тимчасових об’єктів (металевих гаражів),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демонтажу з відновленням благоустрою,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налічується 2 шт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. 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В.о. н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ачальник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а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ab/>
        <w:tab/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Ігор ДЄДІКОВ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gutter="0" w:header="708" w:top="899" w:footer="567" w:bottom="11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Application>LibreOffice/7.3.7.2$Linux_X86_64 LibreOffice_project/30$Build-2</Application>
  <AppVersion>15.0000</AppVersion>
  <Pages>1</Pages>
  <Words>234</Words>
  <Characters>1611</Characters>
  <CharactersWithSpaces>1847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2023-06-29T09:23:49Z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