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8B" w:rsidRDefault="00607A0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587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C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оператора автоматизованої системи обліку оплати </w:t>
      </w:r>
    </w:p>
    <w:p w:rsidR="000E718B" w:rsidRDefault="00607A0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проїзду у міському пасажирському </w:t>
      </w:r>
    </w:p>
    <w:p w:rsidR="000E718B" w:rsidRDefault="00607A0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автомобільному транспорті                    м. Чернігова</w:t>
      </w:r>
    </w:p>
    <w:p w:rsidR="000E718B" w:rsidRDefault="000E718B">
      <w:pPr>
        <w:spacing w:after="0" w:line="240" w:lineRule="auto"/>
        <w:ind w:firstLine="453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E718B" w:rsidRPr="009F2612" w:rsidRDefault="00607A0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612">
        <w:rPr>
          <w:rFonts w:ascii="Times New Roman" w:eastAsia="Times New Roman" w:hAnsi="Times New Roman" w:cs="Times New Roman"/>
          <w:b/>
          <w:sz w:val="28"/>
          <w:szCs w:val="28"/>
        </w:rPr>
        <w:t>Критерії оцінки конкурсної пропозиції під час проведення конкурсу з визначення оператора автоматизованої системи обліку оплати проїзду</w:t>
      </w:r>
    </w:p>
    <w:p w:rsidR="000E718B" w:rsidRDefault="000E718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1"/>
        <w:gridCol w:w="6248"/>
        <w:gridCol w:w="2829"/>
      </w:tblGrid>
      <w:tr w:rsidR="000E718B">
        <w:trPr>
          <w:trHeight w:val="44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Критерій оцінки конкурсної пропозиції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Діапазон балів</w:t>
            </w:r>
          </w:p>
        </w:tc>
      </w:tr>
      <w:tr w:rsidR="000E718B">
        <w:trPr>
          <w:trHeight w:val="249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Досвід впровадження автоматизованої системи обліку оплати проїзду в міському пасажирському транспорті незалежно від форм власності. Досвід має бути підтверджений детальним описом, що саме впроваджено (кількість т/з обладнаних АСООП, тип АСООП, види тарифів тощо). Підтвердження досвіду має бути подане у вигляді </w:t>
            </w:r>
            <w:r w:rsidR="00DD6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копій договорів,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відгуків (референцій, листів тощо) відповідних транспортних підприємств, органі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місцевого самоврядування тощо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балів (якщо впровадження АСООП реалізовано претендентом в 3-ох та більше містах);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(якщо впровадження АСООП реалізовано в 1-2 містах);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досвід відсутній</w:t>
            </w:r>
          </w:p>
        </w:tc>
      </w:tr>
      <w:tr w:rsidR="000E718B">
        <w:trPr>
          <w:trHeight w:val="44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Пропозиція щодо розміру винагороди (у відсотках від суми коштів, отриманих з використання АСООП) за виконання функцій Оператора  та об’єм послуг, що буде наданий за таку винагороду.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При цьому, пропонований Претендентом обсяг послуг повинен враховувати надання таких послуг: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  - розробка, постачання та впровадження усіх пристроїв та систем, необхідних для ефективної та безперебійної роботи систем АСООП;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  - комплексна підтримка та обслуговування усіх елементів систем АСООП;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 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хостинг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адміністрування та забезпечення роботи підсистем АСООП;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  - навчання персоналу інших сторін, які будуть залучені в адміністрування системи;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  - належне виконання інших обов’язків, визначених в договорах п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 здійснення функцій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- 15 балів – найнижча пропозиція щодо розміру винагороди;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балів – за другу по розміру винагороди пропозицію;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за третю по розміру винагороди пропозицію</w:t>
            </w:r>
          </w:p>
        </w:tc>
      </w:tr>
      <w:tr w:rsidR="000E718B">
        <w:trPr>
          <w:trHeight w:val="124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DD681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D6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Можливість налаштування та параметризації системи АСООП у зв’язку із  законодавчими змінами, які мають відношення до електронних квитків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 можливість</w:t>
            </w:r>
          </w:p>
        </w:tc>
      </w:tr>
      <w:tr w:rsidR="000E718B">
        <w:trPr>
          <w:trHeight w:val="2147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DD681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  <w:r w:rsidR="006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Запропоноване рішення щодо роботи системи АСООП має підтримувати можливість налаштування та параметризації поведінки системи.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Перевага буде надана рішенням, які: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максимізують рівень контролю Організатором;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використовують уніфіковану модель сценаріїв на всіх пристроях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підтримує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не підтримує можливість</w:t>
            </w:r>
          </w:p>
        </w:tc>
      </w:tr>
      <w:tr w:rsidR="000E718B">
        <w:trPr>
          <w:trHeight w:val="44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DD681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масштабованості і гнучкості запропонованого рішення щодо роботи системи АСООП, здатність підтримувати ефективний рівень виконання завдань у випадку розвитку масштабів навантаження системи, наприклад: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збільшення або зменшення кількості транзакцій на обробку;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збільшення або зменшення кількості розподілених пристроїв для керування;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зміни у географічному розподіленні та обсязі розподілених пристроїв для керу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наявна здатність;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 здатність</w:t>
            </w:r>
          </w:p>
        </w:tc>
      </w:tr>
      <w:tr w:rsidR="000E718B">
        <w:trPr>
          <w:trHeight w:val="1581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DD681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6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Облік всіх видів оплати (готівкова та безготівкові форми оплати: електронні квитки, безконтактні банківські карт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ки, пристрої з технологією NFC)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балів -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відсутня/ частково відсутня можливість</w:t>
            </w:r>
          </w:p>
        </w:tc>
      </w:tr>
      <w:tr w:rsidR="000E718B">
        <w:trPr>
          <w:trHeight w:val="1014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DD681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D6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разі готівкової оплати для зручності пасажира має бути передбачена можливість придбання паперового квитка безпосередньо в салоні транспортного засобу. Квиток має бути виготовлений друкарським спо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собом та містити унікальні серію, номер, вартість, а також дані про маршрут, номер транспортного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засобу, дату та час </w:t>
            </w:r>
            <w:proofErr w:type="spellStart"/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валідації</w:t>
            </w:r>
            <w:proofErr w:type="spellEnd"/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балів –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наявна можливість та не всі вимоги щодо квитка виконані (не надано приклад реалізації) або запропонований спосіб є недостатньо зручним для пасажира;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- 0 балів – відсутня можливість</w:t>
            </w:r>
          </w:p>
        </w:tc>
      </w:tr>
      <w:tr w:rsidR="000E718B">
        <w:trPr>
          <w:trHeight w:val="2493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C74F1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Система АСООП має передбачати  можливість впровадження гнучкого налаштування тарифів: разової поїздки на пасажирському транспорті, обмеженої в часі з можливістю пересадки; проїзд по зонах з різною вартістю проїзду; проїзні квитки 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визначеним строком дії на певний вид транспорту чи на весь транспорт (незалежно від виду транспорту чи </w:t>
            </w:r>
            <w:r w:rsidR="00921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еревізни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ка); пільговий проїзд для учнів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(Підтвердити наявність відповідних н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алаштувань необхідно прикладами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- 10 бали –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частково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- 0 балів – відсутня можливість</w:t>
            </w:r>
          </w:p>
        </w:tc>
      </w:tr>
      <w:tr w:rsidR="000E718B">
        <w:trPr>
          <w:trHeight w:val="1722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Наявність оф-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лайнової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мережі пунктів поповнення електронних квитків незалежно від тарифного плану, можливість он-лайн поповнення електронних квитків незалежно від тарифного плану  з банківської картки будь-якого банку.</w:t>
            </w:r>
          </w:p>
          <w:p w:rsidR="000E718B" w:rsidRDefault="00C74F1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(Надати план реалізації</w:t>
            </w:r>
            <w:r w:rsidR="00607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бали – найбільша мережа, що задовольняє всі вимоги;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друга за розміром мережа або частково задовольняє вимоги.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немає пропозиції</w:t>
            </w:r>
          </w:p>
        </w:tc>
      </w:tr>
      <w:tr w:rsidR="000E718B">
        <w:trPr>
          <w:trHeight w:val="30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 АСООП має передбачати  можливість обліку всіх видів пільгових категорій пасажирів шляхом гнучкого налаштування та параметризації, мають бути передбачені різні види тарифів для пільгових категорій: необмежена кількість поїздок протягом певного періоду; обмежена кількість поїздок протягом певного періоду; пільгова ціна на проїзд; безоплатний проїзд лише в певні години чи дні тижні).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(Підтвердити наявність відповідних н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алаштувань необхідно прикладами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-10 балів – наявна можливість обліку та налаштування тарифів;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наявна можливість обліку, проте відсутня можливість налаштування різних тарифів згідно з наведеними критеріями;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 можливість обліку</w:t>
            </w:r>
          </w:p>
        </w:tc>
      </w:tr>
      <w:tr w:rsidR="000E718B">
        <w:trPr>
          <w:trHeight w:val="30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Можливість системи АСООП здійснювати одноразову оплату проїзду банківськими продуктами.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Ця умова передбачає, що система прийматиме усі продукти незалежно від форм-фактору: безконтактні картки, пристрої з технологією NFC (оплата з використанням платформ 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тощо) платіжних систем </w:t>
            </w:r>
            <w:proofErr w:type="spellStart"/>
            <w:r w:rsidR="00C74F14">
              <w:rPr>
                <w:rFonts w:ascii="Times New Roman" w:eastAsia="Times New Roman" w:hAnsi="Times New Roman" w:cs="Times New Roman"/>
                <w:sz w:val="26"/>
                <w:szCs w:val="26"/>
              </w:rPr>
              <w:t>Visa</w:t>
            </w:r>
            <w:proofErr w:type="spellEnd"/>
            <w:r w:rsidR="00C74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74F14">
              <w:rPr>
                <w:rFonts w:ascii="Times New Roman" w:eastAsia="Times New Roman" w:hAnsi="Times New Roman" w:cs="Times New Roman"/>
                <w:sz w:val="26"/>
                <w:szCs w:val="26"/>
              </w:rPr>
              <w:t>Mastercard</w:t>
            </w:r>
            <w:proofErr w:type="spellEnd"/>
            <w:r w:rsidR="00C74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банку-емітента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-5 балів – усі умови;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- 3 бали – часткова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 можливість</w:t>
            </w:r>
          </w:p>
        </w:tc>
      </w:tr>
      <w:tr w:rsidR="000E718B">
        <w:trPr>
          <w:trHeight w:val="3971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 w:rsidP="00C74F1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Можливість запропонованого рішення роботи системи АСООП забезпечити комплексну звітність та відстеження транзакцій та операцій за допомогою журналів реєстрації аудиту та контрольних журналів, які містять дані щодо усіх операцій пасажирів, операцій з продажу, перевірок інспекторами, реєстрації входу і виходу персоналу з системи, використання системним адміністратором та персоналом.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Наяв</w:t>
            </w:r>
            <w:r w:rsidR="00C273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ність деталізованих звітів для Перевізників та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рганізатора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помаршрутно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за транспортними засобами, за видами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(готівка, безготівкові оплати з деталізацією по різним типам/тарифам), за картками тощо.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(Підтвердити наявність відповід</w:t>
            </w:r>
            <w:r w:rsidR="00C74F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них звітів необхідно прикладами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- 10 балів –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 балів – частково наявна можливість;</w:t>
            </w:r>
          </w:p>
          <w:p w:rsidR="000E718B" w:rsidRDefault="00607A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 балів – відсутня можливість</w:t>
            </w:r>
          </w:p>
        </w:tc>
      </w:tr>
    </w:tbl>
    <w:p w:rsidR="000E718B" w:rsidRDefault="000E718B"/>
    <w:p w:rsidR="000E718B" w:rsidRDefault="000E718B"/>
    <w:p w:rsidR="000E718B" w:rsidRDefault="000E718B"/>
    <w:sectPr w:rsidR="000E718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3D" w:rsidRDefault="00067A3D">
      <w:pPr>
        <w:spacing w:after="0" w:line="240" w:lineRule="auto"/>
      </w:pPr>
      <w:r>
        <w:separator/>
      </w:r>
    </w:p>
  </w:endnote>
  <w:endnote w:type="continuationSeparator" w:id="0">
    <w:p w:rsidR="00067A3D" w:rsidRDefault="0006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D4" w:rsidRDefault="006428D4" w:rsidP="006428D4">
    <w:pPr>
      <w:pStyle w:val="a7"/>
      <w:tabs>
        <w:tab w:val="left" w:pos="5340"/>
      </w:tabs>
    </w:pPr>
    <w:r>
      <w:tab/>
    </w:r>
  </w:p>
  <w:p w:rsidR="006428D4" w:rsidRDefault="006428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3D" w:rsidRDefault="00067A3D">
      <w:pPr>
        <w:spacing w:after="0" w:line="240" w:lineRule="auto"/>
      </w:pPr>
      <w:r>
        <w:separator/>
      </w:r>
    </w:p>
  </w:footnote>
  <w:footnote w:type="continuationSeparator" w:id="0">
    <w:p w:rsidR="00067A3D" w:rsidRDefault="0006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83257"/>
      <w:docPartObj>
        <w:docPartGallery w:val="Page Numbers (Top of Page)"/>
        <w:docPartUnique/>
      </w:docPartObj>
    </w:sdtPr>
    <w:sdtContent>
      <w:p w:rsidR="006428D4" w:rsidRDefault="006428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8D4">
          <w:rPr>
            <w:noProof/>
            <w:lang w:val="ru-RU"/>
          </w:rPr>
          <w:t>4</w:t>
        </w:r>
        <w:r>
          <w:fldChar w:fldCharType="end"/>
        </w:r>
      </w:p>
    </w:sdtContent>
  </w:sdt>
  <w:p w:rsidR="000E718B" w:rsidRDefault="000E71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8B"/>
    <w:rsid w:val="00067A3D"/>
    <w:rsid w:val="000E718B"/>
    <w:rsid w:val="004E553D"/>
    <w:rsid w:val="0058701A"/>
    <w:rsid w:val="00607A08"/>
    <w:rsid w:val="006428D4"/>
    <w:rsid w:val="00892C24"/>
    <w:rsid w:val="00901D8A"/>
    <w:rsid w:val="0092172F"/>
    <w:rsid w:val="00933F9F"/>
    <w:rsid w:val="009606AC"/>
    <w:rsid w:val="009F2612"/>
    <w:rsid w:val="00BB581C"/>
    <w:rsid w:val="00C2734F"/>
    <w:rsid w:val="00C74F14"/>
    <w:rsid w:val="00D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82AA"/>
  <w15:docId w15:val="{ED6E5396-AF96-4F5E-8B23-20F252C5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21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17FB6"/>
  </w:style>
  <w:style w:type="paragraph" w:styleId="a5">
    <w:name w:val="header"/>
    <w:basedOn w:val="a"/>
    <w:link w:val="a6"/>
    <w:uiPriority w:val="99"/>
    <w:unhideWhenUsed/>
    <w:rsid w:val="00FA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E97"/>
  </w:style>
  <w:style w:type="paragraph" w:styleId="a7">
    <w:name w:val="footer"/>
    <w:basedOn w:val="a"/>
    <w:link w:val="a8"/>
    <w:uiPriority w:val="99"/>
    <w:unhideWhenUsed/>
    <w:rsid w:val="00FA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E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lQUZlNverF0/6WwPaq+v7EU6g==">AMUW2mWIvBVKdMHPr6PGmbC5PTd8W1Is7As3TGEfyS2O6TLK9rrxKgzDHe+U06kFJBh2w+AMdy1gRucwx9dXZIKvVNwKIFvc9F2nzCqmhhuMmL1tIChJ8Wb9abPedLwzidyDrcN7uQuX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2021-05-26T09:03:00Z</dcterms:created>
  <dcterms:modified xsi:type="dcterms:W3CDTF">2021-06-18T10:44:00Z</dcterms:modified>
</cp:coreProperties>
</file>