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193FE6">
        <w:rPr>
          <w:rFonts w:ascii="Times New Roman" w:hAnsi="Times New Roman"/>
          <w:sz w:val="28"/>
          <w:szCs w:val="28"/>
          <w:lang w:val="uk-UA"/>
        </w:rPr>
        <w:t xml:space="preserve">                             «06</w:t>
      </w:r>
      <w:r>
        <w:rPr>
          <w:rFonts w:ascii="Times New Roman" w:hAnsi="Times New Roman"/>
          <w:sz w:val="28"/>
          <w:szCs w:val="28"/>
          <w:lang w:val="uk-UA"/>
        </w:rPr>
        <w:t>»_</w:t>
      </w:r>
      <w:r w:rsidR="00193FE6">
        <w:rPr>
          <w:rFonts w:ascii="Times New Roman" w:hAnsi="Times New Roman"/>
          <w:sz w:val="28"/>
          <w:szCs w:val="28"/>
          <w:lang w:val="uk-UA"/>
        </w:rPr>
        <w:t xml:space="preserve">лютого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20</w:t>
      </w:r>
      <w:r w:rsidR="00492A10">
        <w:rPr>
          <w:rFonts w:ascii="Times New Roman" w:hAnsi="Times New Roman"/>
          <w:sz w:val="28"/>
          <w:szCs w:val="28"/>
          <w:lang w:val="uk-UA"/>
        </w:rPr>
        <w:t>20</w:t>
      </w:r>
      <w:r w:rsidR="00193F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193FE6">
        <w:rPr>
          <w:rFonts w:ascii="Times New Roman" w:hAnsi="Times New Roman"/>
          <w:sz w:val="28"/>
          <w:szCs w:val="28"/>
          <w:lang w:val="uk-UA"/>
        </w:rPr>
        <w:t xml:space="preserve">  № 36</w:t>
      </w:r>
      <w:r w:rsidR="00DA7C1A">
        <w:rPr>
          <w:rFonts w:ascii="Times New Roman" w:hAnsi="Times New Roman"/>
          <w:sz w:val="28"/>
          <w:szCs w:val="28"/>
          <w:lang w:val="uk-UA"/>
        </w:rPr>
        <w:t>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492A1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lastRenderedPageBreak/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492A1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</w:t>
      </w:r>
      <w:r>
        <w:t>риємства</w:t>
      </w:r>
      <w:proofErr w:type="spellEnd"/>
      <w:r>
        <w:t xml:space="preserve"> становить </w:t>
      </w:r>
      <w:r w:rsidR="00492A10" w:rsidRPr="00492A10">
        <w:rPr>
          <w:lang w:val="uk-UA"/>
        </w:rPr>
        <w:t>182 138 672,83 грн. (сто вісімдесят два мільйони сто тридцять вісім тисяч шістсот сімдесят дві гривні 83 коп.)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7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</w:t>
      </w:r>
      <w:r w:rsidR="00492A10">
        <w:rPr>
          <w:rFonts w:ascii="Times New Roman" w:hAnsi="Times New Roman"/>
          <w:sz w:val="28"/>
          <w:szCs w:val="28"/>
          <w:lang w:val="uk-UA"/>
        </w:rPr>
        <w:t>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C"/>
    <w:rsid w:val="000366EA"/>
    <w:rsid w:val="000A2BFC"/>
    <w:rsid w:val="000B761D"/>
    <w:rsid w:val="00170DD1"/>
    <w:rsid w:val="00193FE6"/>
    <w:rsid w:val="001B06D1"/>
    <w:rsid w:val="00222A6B"/>
    <w:rsid w:val="00257352"/>
    <w:rsid w:val="002A3600"/>
    <w:rsid w:val="003F2922"/>
    <w:rsid w:val="0042484C"/>
    <w:rsid w:val="00492A10"/>
    <w:rsid w:val="004C58BD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D16C90"/>
    <w:rsid w:val="00DA42E0"/>
    <w:rsid w:val="00DA7C1A"/>
    <w:rsid w:val="00DB4FD4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E0C2-5B47-4961-B2B6-D8D60E0D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10375</Words>
  <Characters>5915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secretar</cp:lastModifiedBy>
  <cp:revision>2</cp:revision>
  <cp:lastPrinted>2018-01-24T08:57:00Z</cp:lastPrinted>
  <dcterms:created xsi:type="dcterms:W3CDTF">2020-02-11T07:47:00Z</dcterms:created>
  <dcterms:modified xsi:type="dcterms:W3CDTF">2020-02-11T07:47:00Z</dcterms:modified>
</cp:coreProperties>
</file>