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278"/>
        <w:gridCol w:w="4370"/>
      </w:tblGrid>
      <w:tr w:rsidR="00F34A94" w:rsidTr="006A551C">
        <w:tc>
          <w:tcPr>
            <w:tcW w:w="5278" w:type="dxa"/>
          </w:tcPr>
          <w:p w:rsidR="00F34A94" w:rsidRPr="00E82139" w:rsidRDefault="00F34A94" w:rsidP="00814C86">
            <w:pPr>
              <w:pStyle w:val="Title"/>
              <w:tabs>
                <w:tab w:val="left" w:pos="3119"/>
              </w:tabs>
              <w:rPr>
                <w:b/>
                <w:color w:val="auto"/>
                <w:szCs w:val="28"/>
              </w:rPr>
            </w:pPr>
          </w:p>
        </w:tc>
        <w:tc>
          <w:tcPr>
            <w:tcW w:w="4370" w:type="dxa"/>
          </w:tcPr>
          <w:p w:rsidR="00F34A94" w:rsidRPr="00F24691" w:rsidRDefault="00F34A94" w:rsidP="00F24691">
            <w:pPr>
              <w:pStyle w:val="Title"/>
              <w:spacing w:after="0"/>
              <w:ind w:left="1385" w:firstLine="0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F24691">
              <w:rPr>
                <w:rFonts w:ascii="Times New Roman" w:hAnsi="Times New Roman"/>
                <w:color w:val="auto"/>
                <w:szCs w:val="28"/>
              </w:rPr>
              <w:t>ПРОЕКТ</w:t>
            </w:r>
          </w:p>
        </w:tc>
      </w:tr>
    </w:tbl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6A551C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A551C">
        <w:rPr>
          <w:rFonts w:ascii="Times New Roman" w:hAnsi="Times New Roman"/>
          <w:sz w:val="28"/>
          <w:szCs w:val="28"/>
        </w:rPr>
        <w:t>ПРОГРАМА</w:t>
      </w:r>
    </w:p>
    <w:p w:rsidR="00F34A94" w:rsidRPr="006A551C" w:rsidRDefault="00F34A94" w:rsidP="00583F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51C">
        <w:rPr>
          <w:rFonts w:ascii="Times New Roman" w:hAnsi="Times New Roman"/>
          <w:sz w:val="28"/>
          <w:szCs w:val="28"/>
        </w:rPr>
        <w:t xml:space="preserve">відшкодування кредитів, отриманих ОСББ, ЖБК на впровадження заходів з енергозбереження у житловому фонді м. Чернігова </w:t>
      </w:r>
    </w:p>
    <w:p w:rsidR="00F34A94" w:rsidRPr="006A551C" w:rsidRDefault="00F34A94" w:rsidP="00583F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51C">
        <w:rPr>
          <w:rFonts w:ascii="Times New Roman" w:hAnsi="Times New Roman"/>
          <w:sz w:val="28"/>
          <w:szCs w:val="28"/>
        </w:rPr>
        <w:t>на 2016–2019 роки</w:t>
      </w: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5C0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Чернігів, 201</w:t>
      </w:r>
      <w:r w:rsidRPr="00E2358F">
        <w:rPr>
          <w:rFonts w:ascii="Times New Roman" w:hAnsi="Times New Roman"/>
          <w:sz w:val="28"/>
          <w:szCs w:val="28"/>
          <w:lang w:val="ru-RU"/>
        </w:rPr>
        <w:t>6</w:t>
      </w:r>
    </w:p>
    <w:p w:rsidR="00F34A94" w:rsidRPr="00732244" w:rsidRDefault="00F34A94" w:rsidP="00732244">
      <w:pPr>
        <w:tabs>
          <w:tab w:val="left" w:pos="915"/>
          <w:tab w:val="center" w:pos="47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732244">
        <w:rPr>
          <w:rFonts w:ascii="Times New Roman" w:hAnsi="Times New Roman"/>
          <w:bCs/>
          <w:sz w:val="28"/>
          <w:szCs w:val="28"/>
        </w:rPr>
        <w:t>ЗМІСТ</w:t>
      </w:r>
    </w:p>
    <w:p w:rsidR="00F34A94" w:rsidRPr="005F1016" w:rsidRDefault="00F34A94" w:rsidP="00274E71">
      <w:pPr>
        <w:pStyle w:val="TOC1"/>
        <w:ind w:firstLine="0"/>
        <w:rPr>
          <w:color w:val="auto"/>
          <w:szCs w:val="28"/>
        </w:rPr>
      </w:pPr>
      <w:r w:rsidRPr="005F1016">
        <w:rPr>
          <w:color w:val="auto"/>
          <w:szCs w:val="28"/>
        </w:rPr>
        <w:t xml:space="preserve">1.  Паспорт Програми                                                                                                         3 </w:t>
      </w:r>
    </w:p>
    <w:p w:rsidR="00F34A94" w:rsidRPr="005F1016" w:rsidRDefault="00F34A94" w:rsidP="00274E7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F1016">
        <w:rPr>
          <w:rFonts w:ascii="Times New Roman" w:hAnsi="Times New Roman"/>
          <w:sz w:val="28"/>
          <w:szCs w:val="28"/>
          <w:lang w:eastAsia="ru-RU"/>
        </w:rPr>
        <w:t>2. Опис проблеми, на розв'язання якої спрямована Програма</w:t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  <w:t>3</w:t>
      </w:r>
    </w:p>
    <w:p w:rsidR="00F34A94" w:rsidRPr="005F1016" w:rsidRDefault="00F34A94" w:rsidP="00274E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1016">
        <w:rPr>
          <w:rFonts w:ascii="Times New Roman" w:hAnsi="Times New Roman"/>
          <w:sz w:val="28"/>
          <w:szCs w:val="28"/>
          <w:lang w:eastAsia="ru-RU"/>
        </w:rPr>
        <w:t>3. Мета Програм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5</w:t>
      </w:r>
    </w:p>
    <w:p w:rsidR="00F34A94" w:rsidRPr="005F1016" w:rsidRDefault="00F34A94" w:rsidP="00274E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1016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5F1016">
        <w:rPr>
          <w:rFonts w:ascii="Times New Roman" w:hAnsi="Times New Roman"/>
          <w:sz w:val="28"/>
          <w:szCs w:val="28"/>
          <w:lang w:eastAsia="ru-RU"/>
        </w:rPr>
        <w:t>. Обґрунтування шляхів засобів розв'язання проблеми</w:t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  <w:t>6</w:t>
      </w:r>
    </w:p>
    <w:p w:rsidR="00F34A94" w:rsidRPr="005F1016" w:rsidRDefault="00F34A94" w:rsidP="00274E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1016">
        <w:rPr>
          <w:rFonts w:ascii="Times New Roman" w:hAnsi="Times New Roman"/>
          <w:sz w:val="28"/>
          <w:szCs w:val="28"/>
          <w:lang w:eastAsia="ru-RU"/>
        </w:rPr>
        <w:t>5. Завдання Програми</w:t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  <w:t>8</w:t>
      </w:r>
    </w:p>
    <w:p w:rsidR="00F34A94" w:rsidRPr="005F1016" w:rsidRDefault="00F34A94" w:rsidP="00274E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1016">
        <w:rPr>
          <w:rFonts w:ascii="Times New Roman" w:hAnsi="Times New Roman"/>
          <w:sz w:val="28"/>
          <w:szCs w:val="28"/>
          <w:lang w:eastAsia="ru-RU"/>
        </w:rPr>
        <w:t>6. Прогнозоване ресурсне забезпечення Програми</w:t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</w:r>
      <w:r w:rsidRPr="005F1016">
        <w:rPr>
          <w:rFonts w:ascii="Times New Roman" w:hAnsi="Times New Roman"/>
          <w:sz w:val="28"/>
          <w:szCs w:val="28"/>
          <w:lang w:eastAsia="ru-RU"/>
        </w:rPr>
        <w:tab/>
        <w:t>9</w:t>
      </w:r>
    </w:p>
    <w:p w:rsidR="00F34A94" w:rsidRPr="005F1016" w:rsidRDefault="00F34A94" w:rsidP="00274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01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5F1016">
        <w:rPr>
          <w:rFonts w:ascii="Times New Roman" w:hAnsi="Times New Roman"/>
          <w:sz w:val="28"/>
          <w:szCs w:val="28"/>
        </w:rPr>
        <w:t>Координація та контроль за ходом виконання Програми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</w:p>
    <w:p w:rsidR="00F34A94" w:rsidRPr="005F1016" w:rsidRDefault="00F34A94" w:rsidP="00274E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Додатки до Програми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10</w:t>
      </w:r>
    </w:p>
    <w:p w:rsidR="00F34A94" w:rsidRDefault="00F34A94" w:rsidP="00E1036B">
      <w:pPr>
        <w:tabs>
          <w:tab w:val="right" w:leader="dot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1016">
        <w:rPr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 xml:space="preserve">1. </w:t>
      </w:r>
      <w:r w:rsidRPr="006A551C">
        <w:rPr>
          <w:rFonts w:ascii="Times New Roman" w:hAnsi="Times New Roman"/>
          <w:sz w:val="28"/>
          <w:szCs w:val="28"/>
        </w:rPr>
        <w:t>Паспорт Програми відшкодування кредитів, отриманих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51C">
        <w:rPr>
          <w:rFonts w:ascii="Times New Roman" w:hAnsi="Times New Roman"/>
          <w:sz w:val="28"/>
          <w:szCs w:val="28"/>
        </w:rPr>
        <w:t>ОСББ, ЖБК на впровадження заходів з енергозбереження у житловому фонді м. Чернігова на 2016–2019 роки</w:t>
      </w:r>
      <w:r>
        <w:rPr>
          <w:rFonts w:ascii="Times New Roman" w:hAnsi="Times New Roman"/>
          <w:sz w:val="28"/>
          <w:szCs w:val="28"/>
        </w:rPr>
        <w:t>.</w:t>
      </w:r>
    </w:p>
    <w:p w:rsidR="00F34A94" w:rsidRPr="006A551C" w:rsidRDefault="00F34A94" w:rsidP="006A32E4">
      <w:pPr>
        <w:tabs>
          <w:tab w:val="right" w:leader="dot" w:pos="93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4A94" w:rsidRPr="006A32E4" w:rsidRDefault="00F34A94" w:rsidP="006A32E4">
      <w:pPr>
        <w:tabs>
          <w:tab w:val="right" w:leader="dot" w:pos="93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38"/>
        <w:gridCol w:w="4730"/>
        <w:gridCol w:w="4290"/>
      </w:tblGrid>
      <w:tr w:rsidR="00F34A94" w:rsidRPr="00ED7AFF" w:rsidTr="007F4706">
        <w:trPr>
          <w:trHeight w:val="658"/>
        </w:trPr>
        <w:tc>
          <w:tcPr>
            <w:tcW w:w="438" w:type="dxa"/>
          </w:tcPr>
          <w:p w:rsidR="00F34A94" w:rsidRPr="00ED7AFF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F34A94" w:rsidRPr="00ED7AFF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290" w:type="dxa"/>
          </w:tcPr>
          <w:p w:rsidR="00F34A94" w:rsidRPr="00ED7AFF" w:rsidRDefault="00F34A94" w:rsidP="007F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Виконавчий комітет Чернігівської міської ради</w:t>
            </w:r>
          </w:p>
        </w:tc>
      </w:tr>
      <w:tr w:rsidR="00F34A94" w:rsidRPr="00ED7AFF" w:rsidTr="007F4706">
        <w:trPr>
          <w:trHeight w:val="571"/>
        </w:trPr>
        <w:tc>
          <w:tcPr>
            <w:tcW w:w="438" w:type="dxa"/>
          </w:tcPr>
          <w:p w:rsidR="00F34A94" w:rsidRPr="00ED7AFF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0" w:type="dxa"/>
          </w:tcPr>
          <w:p w:rsidR="00F34A94" w:rsidRPr="00ED7AFF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D7AFF">
              <w:rPr>
                <w:rFonts w:ascii="Times New Roman" w:hAnsi="Times New Roman"/>
                <w:sz w:val="28"/>
                <w:szCs w:val="28"/>
              </w:rPr>
              <w:t xml:space="preserve">озробник Програми  </w:t>
            </w:r>
          </w:p>
        </w:tc>
        <w:tc>
          <w:tcPr>
            <w:tcW w:w="4290" w:type="dxa"/>
          </w:tcPr>
          <w:p w:rsidR="00F34A94" w:rsidRDefault="00F34A94" w:rsidP="007F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AFF">
              <w:rPr>
                <w:rFonts w:ascii="Times New Roman" w:hAnsi="Times New Roman"/>
                <w:sz w:val="28"/>
                <w:szCs w:val="28"/>
              </w:rPr>
              <w:t>Управління економі</w:t>
            </w:r>
            <w:r>
              <w:rPr>
                <w:rFonts w:ascii="Times New Roman" w:hAnsi="Times New Roman"/>
                <w:sz w:val="28"/>
                <w:szCs w:val="28"/>
              </w:rPr>
              <w:t>ки Чернігівської</w:t>
            </w:r>
            <w:r w:rsidRPr="00ED7AFF">
              <w:rPr>
                <w:rFonts w:ascii="Times New Roman" w:hAnsi="Times New Roman"/>
                <w:sz w:val="28"/>
                <w:szCs w:val="28"/>
              </w:rPr>
              <w:t xml:space="preserve"> міс</w:t>
            </w:r>
            <w:r>
              <w:rPr>
                <w:rFonts w:ascii="Times New Roman" w:hAnsi="Times New Roman"/>
                <w:sz w:val="28"/>
                <w:szCs w:val="28"/>
              </w:rPr>
              <w:t>ької</w:t>
            </w:r>
            <w:r w:rsidRPr="00ED7AF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F34A94" w:rsidRPr="00ED7AFF" w:rsidTr="007F4706">
        <w:trPr>
          <w:trHeight w:val="571"/>
        </w:trPr>
        <w:tc>
          <w:tcPr>
            <w:tcW w:w="438" w:type="dxa"/>
          </w:tcPr>
          <w:p w:rsidR="00F34A94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0" w:type="dxa"/>
          </w:tcPr>
          <w:p w:rsidR="00F34A94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290" w:type="dxa"/>
          </w:tcPr>
          <w:p w:rsidR="00F34A94" w:rsidRDefault="00F34A94" w:rsidP="007F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  <w:tr w:rsidR="00F34A94" w:rsidRPr="00ED7AFF" w:rsidTr="007F4706">
        <w:trPr>
          <w:trHeight w:val="571"/>
        </w:trPr>
        <w:tc>
          <w:tcPr>
            <w:tcW w:w="438" w:type="dxa"/>
          </w:tcPr>
          <w:p w:rsidR="00F34A94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</w:tcPr>
          <w:p w:rsidR="00F34A94" w:rsidRPr="00ED7AFF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290" w:type="dxa"/>
          </w:tcPr>
          <w:p w:rsidR="00F34A94" w:rsidRDefault="00F34A94" w:rsidP="007F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  <w:tr w:rsidR="00F34A94" w:rsidRPr="00ED7AFF" w:rsidTr="007F4706">
        <w:trPr>
          <w:trHeight w:val="571"/>
        </w:trPr>
        <w:tc>
          <w:tcPr>
            <w:tcW w:w="438" w:type="dxa"/>
          </w:tcPr>
          <w:p w:rsidR="00F34A94" w:rsidRPr="00ED7AFF" w:rsidRDefault="00F34A94" w:rsidP="006C2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F34A94" w:rsidRPr="00ED7AFF" w:rsidRDefault="00F34A94" w:rsidP="006C2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AFF">
              <w:rPr>
                <w:rFonts w:ascii="Times New Roman" w:hAnsi="Times New Roman"/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4290" w:type="dxa"/>
          </w:tcPr>
          <w:p w:rsidR="00F34A94" w:rsidRPr="00ED7AFF" w:rsidRDefault="00F34A94" w:rsidP="007F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AF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>-2019</w:t>
            </w:r>
            <w:r w:rsidRPr="00ED7AF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D7AF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34A94" w:rsidRPr="00ED7AFF" w:rsidTr="007F4706">
        <w:trPr>
          <w:trHeight w:val="571"/>
        </w:trPr>
        <w:tc>
          <w:tcPr>
            <w:tcW w:w="438" w:type="dxa"/>
          </w:tcPr>
          <w:p w:rsidR="00F34A94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</w:tcPr>
          <w:p w:rsidR="00F34A94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290" w:type="dxa"/>
          </w:tcPr>
          <w:p w:rsidR="00F34A94" w:rsidRDefault="00F34A94" w:rsidP="007F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</w:tr>
      <w:tr w:rsidR="00F34A94" w:rsidRPr="00ED7AFF" w:rsidTr="007F4706">
        <w:trPr>
          <w:trHeight w:val="571"/>
        </w:trPr>
        <w:tc>
          <w:tcPr>
            <w:tcW w:w="438" w:type="dxa"/>
          </w:tcPr>
          <w:p w:rsidR="00F34A94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0" w:type="dxa"/>
          </w:tcPr>
          <w:p w:rsidR="00F34A94" w:rsidRDefault="00F34A94" w:rsidP="003C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4290" w:type="dxa"/>
          </w:tcPr>
          <w:p w:rsidR="00F34A94" w:rsidRDefault="00F34A94" w:rsidP="007F4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 млн. грн..</w:t>
            </w:r>
          </w:p>
        </w:tc>
      </w:tr>
    </w:tbl>
    <w:p w:rsidR="00F34A94" w:rsidRPr="00184295" w:rsidRDefault="00F34A94" w:rsidP="00A01061">
      <w:pPr>
        <w:spacing w:before="60"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F34A94" w:rsidRDefault="00F34A94" w:rsidP="006E3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E340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 </w:t>
      </w:r>
      <w:r w:rsidRPr="006A55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ОПИС ПРОБЛЕМИ, НА РОЗВ'ЯЗАННЯ ЯКОЇ </w:t>
      </w:r>
    </w:p>
    <w:p w:rsidR="00F34A94" w:rsidRPr="006A551C" w:rsidRDefault="00F34A94" w:rsidP="006E3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551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СПРЯМОВАНА ПРОГРАМА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Відповідно до результатів досліджень виконаних при розробці Плану дій зі сталого енергетичного розвитку міста Чернігова на 2015-2023 роки майже </w:t>
      </w:r>
      <w:r w:rsidRPr="00501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40 % спожитих містом енергоресурсів використовується на створення комфортних умов життя людини. Найбільш проблемною сферою щодо реалізації політики енергозбереження є житлові багатоквартирні будинки. Така ситуація є досить типовою для всієї країни і обумовлена наступними чинниками: 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більша частина  наявного житла збудована в радянський період масової забудови, коли необґрунтовано низькі ціни на енергоносії поєднувалися з вимогами прискорення будівельних робіт, зменшення вартості, скорочення матеріало і трудоємкості будівництва і тому більшість цих будівель не відповідають сучасним вимогам енергозбереження, комфорту та в цілому кліматичній ситуації; 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- неналежна експлуатація будинків, а саме низька якість та несвоєчасність виконання капітальних і поточних ремонтів, призвела до погіршення стану багатоповерхівок та підвищення рівня енергозатрат, який майже у 5 разів перевищує європейські стандарти;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- низький рівень доходів населення та високі процентні ставки за кредитами є перепоною до широкого впровадження енергозберігаючих заходів у житловому секторі;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- низька активність населення до самоорганізації і створення ОСББ не дає змоги об</w:t>
      </w:r>
      <w:r w:rsidRPr="00885010">
        <w:rPr>
          <w:rFonts w:ascii="Times New Roman" w:hAnsi="Times New Roman"/>
          <w:color w:val="000000"/>
          <w:sz w:val="28"/>
          <w:szCs w:val="28"/>
          <w:lang w:eastAsia="ru-RU"/>
        </w:rPr>
        <w:t>'</w:t>
      </w: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єднувати фінансові ресурси населення та спрямовувати їх на вирішення загальнобудинкових проблем у тому числі і на підвищення енергоефективності будівель;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- невизначеність щодо бюджетної підтримки енергозбереження в житловому секторі;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- відсутність механізмів залучення коштів на енергозберігаючі заходи в будинках.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Всі ці фактори разом призводять до необґрунтовано великих обсягів споживання енергоресурсів в багатоквартирних будинках. 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В умовах постійно зростаючих цін на основні види енергоресурсів та значної зовнішньоекономічної залежності нашої країни від постачальників енергоносіїв, питання покращення показників енергоефективності та зменшення споживання енергоресурсів у житлових будинках набувають особливої актуальності.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Приведення тарифів на енергоносії до економічно обґрунтованого рівня призвело до їх стрімкого зростання, і як результат сімейний бюджет більшості мешканців міста не в змозі витримати  витрати на їх оплату.</w:t>
      </w:r>
    </w:p>
    <w:p w:rsidR="00F34A94" w:rsidRPr="00184295" w:rsidRDefault="00F34A94" w:rsidP="006E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той же час низький рівень доходів населення не дає змоги  виконати необхідні роботи з </w:t>
      </w:r>
      <w:r w:rsidRPr="00184295">
        <w:rPr>
          <w:rFonts w:ascii="Times New Roman" w:hAnsi="Times New Roman"/>
          <w:sz w:val="28"/>
          <w:szCs w:val="28"/>
        </w:rPr>
        <w:t>утеплення та термомодернізації житла.</w:t>
      </w: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34A94" w:rsidRPr="00184295" w:rsidRDefault="00F34A94" w:rsidP="00453B4D">
      <w:pPr>
        <w:pStyle w:val="a"/>
        <w:spacing w:before="0" w:after="0"/>
        <w:rPr>
          <w:sz w:val="28"/>
        </w:rPr>
      </w:pPr>
      <w:r w:rsidRPr="00184295">
        <w:rPr>
          <w:sz w:val="28"/>
        </w:rPr>
        <w:t>Чернігів – місто з характерною для пострадянського обласного центру структурою житлового фонду, у якій переважають п’яти – дев’ятиповерхові будинки. Житлова забезпеченість по місту складає 18,3 м</w:t>
      </w:r>
      <w:r w:rsidRPr="00184295">
        <w:rPr>
          <w:sz w:val="28"/>
          <w:vertAlign w:val="superscript"/>
        </w:rPr>
        <w:t>2</w:t>
      </w:r>
      <w:r w:rsidRPr="00184295">
        <w:rPr>
          <w:sz w:val="28"/>
        </w:rPr>
        <w:t xml:space="preserve">/особу проти </w:t>
      </w:r>
      <w:r>
        <w:rPr>
          <w:sz w:val="28"/>
        </w:rPr>
        <w:t xml:space="preserve">         </w:t>
      </w:r>
      <w:r w:rsidRPr="00184295">
        <w:rPr>
          <w:sz w:val="28"/>
        </w:rPr>
        <w:t>20,3 м</w:t>
      </w:r>
      <w:r w:rsidRPr="00184295">
        <w:rPr>
          <w:sz w:val="28"/>
          <w:vertAlign w:val="superscript"/>
        </w:rPr>
        <w:t>2</w:t>
      </w:r>
      <w:r w:rsidRPr="00184295">
        <w:rPr>
          <w:sz w:val="28"/>
        </w:rPr>
        <w:t>/осіб по Україні.</w:t>
      </w:r>
    </w:p>
    <w:p w:rsidR="00F34A94" w:rsidRPr="00184295" w:rsidRDefault="00F34A94" w:rsidP="00453B4D">
      <w:pPr>
        <w:pStyle w:val="a"/>
        <w:spacing w:before="0" w:after="0"/>
        <w:rPr>
          <w:sz w:val="28"/>
        </w:rPr>
      </w:pPr>
      <w:r w:rsidRPr="00184295">
        <w:rPr>
          <w:sz w:val="28"/>
        </w:rPr>
        <w:t>За останні 20 років побудовано близько 2,0 млн. м</w:t>
      </w:r>
      <w:r w:rsidRPr="00184295">
        <w:rPr>
          <w:sz w:val="28"/>
          <w:vertAlign w:val="superscript"/>
        </w:rPr>
        <w:t>2</w:t>
      </w:r>
      <w:r w:rsidRPr="00184295">
        <w:rPr>
          <w:sz w:val="28"/>
        </w:rPr>
        <w:t>. житлового фонду. Незначна частина житлового фонду збереглася із дореволюційних і довоєнних часів.</w:t>
      </w:r>
    </w:p>
    <w:p w:rsidR="00F34A94" w:rsidRPr="00184295" w:rsidRDefault="00F34A94" w:rsidP="00453B4D">
      <w:pPr>
        <w:pStyle w:val="a"/>
        <w:spacing w:before="0" w:after="0"/>
        <w:rPr>
          <w:sz w:val="28"/>
        </w:rPr>
      </w:pPr>
      <w:r w:rsidRPr="00184295">
        <w:rPr>
          <w:sz w:val="28"/>
        </w:rPr>
        <w:t xml:space="preserve">Ветхий житловий фонд представлений, в основному, одноповерховими дерев’яними будинками і зосереджений у центральній частині міста. </w:t>
      </w:r>
    </w:p>
    <w:p w:rsidR="00F34A94" w:rsidRPr="00184295" w:rsidRDefault="00F34A94" w:rsidP="00453B4D">
      <w:pPr>
        <w:pStyle w:val="a"/>
        <w:spacing w:before="0" w:after="0"/>
        <w:rPr>
          <w:sz w:val="28"/>
        </w:rPr>
      </w:pPr>
      <w:r w:rsidRPr="00184295">
        <w:rPr>
          <w:sz w:val="28"/>
        </w:rPr>
        <w:t>Найбільшими балансоутримувачами житлового фонду у місті є п’ять підприємств, чотири із яких комунальні, що утримують на правах господарського відання</w:t>
      </w:r>
      <w:r>
        <w:rPr>
          <w:sz w:val="28"/>
        </w:rPr>
        <w:t xml:space="preserve"> 93,5 % </w:t>
      </w:r>
      <w:r w:rsidRPr="00184295">
        <w:rPr>
          <w:sz w:val="28"/>
        </w:rPr>
        <w:t>житлових будинк</w:t>
      </w:r>
      <w:r>
        <w:rPr>
          <w:sz w:val="28"/>
        </w:rPr>
        <w:t>ів</w:t>
      </w:r>
      <w:r w:rsidRPr="00184295">
        <w:rPr>
          <w:sz w:val="28"/>
        </w:rPr>
        <w:t>, та одне підприємство колективної форми власності – обслуговує</w:t>
      </w:r>
      <w:r>
        <w:rPr>
          <w:sz w:val="28"/>
        </w:rPr>
        <w:t xml:space="preserve"> </w:t>
      </w:r>
      <w:r w:rsidRPr="00184295">
        <w:rPr>
          <w:sz w:val="28"/>
        </w:rPr>
        <w:t>будинк</w:t>
      </w:r>
      <w:r>
        <w:rPr>
          <w:sz w:val="28"/>
        </w:rPr>
        <w:t>и</w:t>
      </w:r>
      <w:r w:rsidRPr="00184295">
        <w:rPr>
          <w:sz w:val="28"/>
        </w:rPr>
        <w:t xml:space="preserve"> житлово-будівельних кооперативів. </w:t>
      </w:r>
    </w:p>
    <w:p w:rsidR="00F34A94" w:rsidRDefault="00F34A94" w:rsidP="00453B4D">
      <w:pPr>
        <w:pStyle w:val="a"/>
        <w:spacing w:before="0" w:after="0"/>
        <w:jc w:val="center"/>
        <w:rPr>
          <w:sz w:val="28"/>
        </w:rPr>
      </w:pPr>
    </w:p>
    <w:p w:rsidR="00F34A94" w:rsidRPr="00716213" w:rsidRDefault="00F34A94" w:rsidP="00453B4D">
      <w:pPr>
        <w:pStyle w:val="a"/>
        <w:spacing w:before="0" w:after="0"/>
        <w:jc w:val="center"/>
        <w:rPr>
          <w:sz w:val="28"/>
        </w:rPr>
      </w:pPr>
      <w:r w:rsidRPr="00716213">
        <w:rPr>
          <w:sz w:val="28"/>
        </w:rPr>
        <w:t>Комунальний житловий фонд за роками побудови</w:t>
      </w:r>
    </w:p>
    <w:p w:rsidR="00F34A94" w:rsidRPr="00716213" w:rsidRDefault="00F34A94" w:rsidP="00453B4D">
      <w:pPr>
        <w:pStyle w:val="a"/>
        <w:spacing w:before="0" w:after="0"/>
        <w:jc w:val="center"/>
        <w:rPr>
          <w:sz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379"/>
        <w:gridCol w:w="1234"/>
        <w:gridCol w:w="1093"/>
        <w:gridCol w:w="951"/>
        <w:gridCol w:w="961"/>
        <w:gridCol w:w="967"/>
        <w:gridCol w:w="965"/>
        <w:gridCol w:w="963"/>
      </w:tblGrid>
      <w:tr w:rsidR="00F34A94" w:rsidRPr="00716213" w:rsidTr="006C2973">
        <w:trPr>
          <w:jc w:val="center"/>
        </w:trPr>
        <w:tc>
          <w:tcPr>
            <w:tcW w:w="722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36"/>
              <w:rPr>
                <w:sz w:val="28"/>
              </w:rPr>
            </w:pPr>
            <w:r w:rsidRPr="00716213">
              <w:rPr>
                <w:sz w:val="28"/>
              </w:rPr>
              <w:t>Рік забудови</w:t>
            </w:r>
          </w:p>
        </w:tc>
        <w:tc>
          <w:tcPr>
            <w:tcW w:w="693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31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До 1919</w:t>
            </w:r>
          </w:p>
        </w:tc>
        <w:tc>
          <w:tcPr>
            <w:tcW w:w="620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1919-1945</w:t>
            </w:r>
          </w:p>
        </w:tc>
        <w:tc>
          <w:tcPr>
            <w:tcW w:w="549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1946-1960</w:t>
            </w:r>
          </w:p>
        </w:tc>
        <w:tc>
          <w:tcPr>
            <w:tcW w:w="478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1961-1970</w:t>
            </w:r>
          </w:p>
        </w:tc>
        <w:tc>
          <w:tcPr>
            <w:tcW w:w="483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1971-1980</w:t>
            </w:r>
          </w:p>
        </w:tc>
        <w:tc>
          <w:tcPr>
            <w:tcW w:w="486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1981-1990</w:t>
            </w:r>
          </w:p>
        </w:tc>
        <w:tc>
          <w:tcPr>
            <w:tcW w:w="485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1991-2000</w:t>
            </w:r>
          </w:p>
        </w:tc>
        <w:tc>
          <w:tcPr>
            <w:tcW w:w="484" w:type="pct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2001-2014</w:t>
            </w:r>
          </w:p>
        </w:tc>
      </w:tr>
      <w:tr w:rsidR="00F34A94" w:rsidRPr="00184295" w:rsidTr="006C2973">
        <w:trPr>
          <w:jc w:val="center"/>
        </w:trPr>
        <w:tc>
          <w:tcPr>
            <w:tcW w:w="722" w:type="pct"/>
          </w:tcPr>
          <w:p w:rsidR="00F34A94" w:rsidRPr="00716213" w:rsidRDefault="00F34A94" w:rsidP="006C2973">
            <w:pPr>
              <w:pStyle w:val="a"/>
              <w:spacing w:before="0" w:after="0"/>
              <w:ind w:firstLine="36"/>
              <w:rPr>
                <w:sz w:val="28"/>
              </w:rPr>
            </w:pPr>
            <w:r w:rsidRPr="00716213">
              <w:rPr>
                <w:sz w:val="28"/>
              </w:rPr>
              <w:t>Кількість</w:t>
            </w:r>
          </w:p>
          <w:p w:rsidR="00F34A94" w:rsidRPr="00716213" w:rsidRDefault="00F34A94" w:rsidP="006C2973">
            <w:pPr>
              <w:pStyle w:val="a"/>
              <w:spacing w:before="0" w:after="0"/>
              <w:ind w:firstLine="36"/>
              <w:rPr>
                <w:sz w:val="28"/>
              </w:rPr>
            </w:pPr>
            <w:r w:rsidRPr="00716213">
              <w:rPr>
                <w:sz w:val="28"/>
              </w:rPr>
              <w:t>будинків</w:t>
            </w:r>
          </w:p>
        </w:tc>
        <w:tc>
          <w:tcPr>
            <w:tcW w:w="693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332</w:t>
            </w:r>
          </w:p>
        </w:tc>
        <w:tc>
          <w:tcPr>
            <w:tcW w:w="620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66</w:t>
            </w:r>
          </w:p>
        </w:tc>
        <w:tc>
          <w:tcPr>
            <w:tcW w:w="549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345</w:t>
            </w:r>
          </w:p>
        </w:tc>
        <w:tc>
          <w:tcPr>
            <w:tcW w:w="478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312</w:t>
            </w:r>
          </w:p>
        </w:tc>
        <w:tc>
          <w:tcPr>
            <w:tcW w:w="483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303</w:t>
            </w:r>
          </w:p>
        </w:tc>
        <w:tc>
          <w:tcPr>
            <w:tcW w:w="486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217</w:t>
            </w:r>
          </w:p>
        </w:tc>
        <w:tc>
          <w:tcPr>
            <w:tcW w:w="485" w:type="pct"/>
            <w:vAlign w:val="center"/>
          </w:tcPr>
          <w:p w:rsidR="00F34A94" w:rsidRPr="00716213" w:rsidRDefault="00F34A94" w:rsidP="006C2973">
            <w:pPr>
              <w:pStyle w:val="a"/>
              <w:spacing w:before="0" w:after="0"/>
              <w:ind w:firstLine="0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128</w:t>
            </w:r>
          </w:p>
        </w:tc>
        <w:tc>
          <w:tcPr>
            <w:tcW w:w="484" w:type="pct"/>
            <w:vAlign w:val="center"/>
          </w:tcPr>
          <w:p w:rsidR="00F34A94" w:rsidRPr="00184295" w:rsidRDefault="00F34A94" w:rsidP="006C2973">
            <w:pPr>
              <w:pStyle w:val="a"/>
              <w:spacing w:before="0" w:after="0"/>
              <w:ind w:firstLine="58"/>
              <w:jc w:val="center"/>
              <w:rPr>
                <w:sz w:val="28"/>
              </w:rPr>
            </w:pPr>
            <w:r w:rsidRPr="00716213">
              <w:rPr>
                <w:sz w:val="28"/>
              </w:rPr>
              <w:t>34</w:t>
            </w:r>
          </w:p>
        </w:tc>
      </w:tr>
    </w:tbl>
    <w:p w:rsidR="00F34A94" w:rsidRDefault="00F34A94" w:rsidP="00453B4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34A94" w:rsidRPr="00680D29" w:rsidRDefault="00F34A94" w:rsidP="007162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13pt">
            <v:imagedata r:id="rId7" o:title=""/>
          </v:shape>
        </w:pict>
      </w:r>
    </w:p>
    <w:p w:rsidR="00F34A94" w:rsidRDefault="00F34A94" w:rsidP="0071621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45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На момент розробки Програми у місті зареєстровано і працює 33 об"єднання співвласників багатоповерхових будинків та 125 житлово-будівельних кооперативів. Більшість з них створена у 5-9 поверхових будинках. </w:t>
      </w:r>
      <w:r w:rsidRPr="007E552C">
        <w:rPr>
          <w:rFonts w:ascii="Times New Roman" w:hAnsi="Times New Roman"/>
          <w:sz w:val="28"/>
          <w:szCs w:val="28"/>
        </w:rPr>
        <w:t>Загальна площа будинків які обслуговуються ОСББ становить   173,8 тис. кв. м,  ЖБК 515,1 тис. кв. 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4A94" w:rsidRPr="00680D29" w:rsidRDefault="00F34A94" w:rsidP="006E340E">
      <w:pPr>
        <w:spacing w:before="60"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378pt;height:244.5pt">
            <v:imagedata r:id="rId8" o:title=""/>
          </v:shape>
        </w:pict>
      </w:r>
    </w:p>
    <w:p w:rsidR="00F34A94" w:rsidRDefault="00F34A94" w:rsidP="006E340E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6E340E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F34A94" w:rsidRPr="006A551C" w:rsidRDefault="00F34A94" w:rsidP="006E340E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A551C">
        <w:rPr>
          <w:rFonts w:ascii="Times New Roman" w:hAnsi="Times New Roman"/>
          <w:sz w:val="28"/>
          <w:szCs w:val="28"/>
        </w:rPr>
        <w:t>МЕТА ПРОГРАМИ</w:t>
      </w:r>
    </w:p>
    <w:p w:rsidR="00F34A94" w:rsidRPr="00184295" w:rsidRDefault="00F34A94" w:rsidP="006E340E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F34A94" w:rsidRDefault="00F34A94" w:rsidP="006E340E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Метою Програми є створення ефективного механізму стимулювання впровадження енергозберігаючих заходів в побуті шляхом відшкодування з міського бюджету частини суми за кредитами, одержаними ОСББ, ЖБК на реалізацію енергозберігаючих заходів. Це зробить більш доступними кредити для жителів міста, що сприятиме створенню ОСББ, більш масовому впровадженню енергозберігаючих заходів в побуті, і в кінцевому результаті призведе до зменшення споживання паливно-енергетичних ресурсів</w:t>
      </w:r>
      <w:r>
        <w:rPr>
          <w:rFonts w:ascii="Times New Roman" w:hAnsi="Times New Roman"/>
          <w:sz w:val="28"/>
          <w:szCs w:val="28"/>
        </w:rPr>
        <w:t>,</w:t>
      </w:r>
      <w:r w:rsidRPr="00184295">
        <w:rPr>
          <w:rFonts w:ascii="Times New Roman" w:hAnsi="Times New Roman"/>
          <w:sz w:val="28"/>
          <w:szCs w:val="28"/>
        </w:rPr>
        <w:t xml:space="preserve"> витрат населення на їх оплату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184295">
        <w:rPr>
          <w:rFonts w:ascii="Times New Roman" w:hAnsi="Times New Roman"/>
          <w:sz w:val="28"/>
          <w:szCs w:val="28"/>
        </w:rPr>
        <w:t xml:space="preserve"> поліпшення екологічної ситуації у місті.</w:t>
      </w:r>
    </w:p>
    <w:p w:rsidR="00F34A94" w:rsidRDefault="00F34A94" w:rsidP="00FE1D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цілей Програми під терміном "частина суми тіла кредиту" розуміти 4</w:t>
      </w:r>
      <w:r w:rsidRPr="00184295">
        <w:rPr>
          <w:rFonts w:ascii="Times New Roman" w:hAnsi="Times New Roman"/>
          <w:sz w:val="28"/>
          <w:szCs w:val="28"/>
        </w:rPr>
        <w:t>0 відсотків від розміру суми тіла кредиту на придбання енергоефективного обладнання та/або матеріалів необхідних для виконання заходів з енергозбереження багатоквартирних будинків згідно з Програмою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84295">
        <w:rPr>
          <w:rFonts w:ascii="Times New Roman" w:hAnsi="Times New Roman"/>
          <w:sz w:val="28"/>
          <w:szCs w:val="28"/>
        </w:rPr>
        <w:t xml:space="preserve">але не більше </w:t>
      </w:r>
      <w:r>
        <w:rPr>
          <w:rFonts w:ascii="Times New Roman" w:hAnsi="Times New Roman"/>
          <w:sz w:val="28"/>
          <w:szCs w:val="28"/>
        </w:rPr>
        <w:t>14</w:t>
      </w:r>
      <w:r w:rsidRPr="00184295">
        <w:rPr>
          <w:rFonts w:ascii="Times New Roman" w:hAnsi="Times New Roman"/>
          <w:sz w:val="28"/>
          <w:szCs w:val="28"/>
        </w:rPr>
        <w:t xml:space="preserve"> тис. грн. з розрахунку на одну квартиру багатоквартирного житлового будинку за одним кредитним договором</w:t>
      </w:r>
      <w:r>
        <w:rPr>
          <w:rFonts w:ascii="Times New Roman" w:hAnsi="Times New Roman"/>
          <w:sz w:val="28"/>
          <w:szCs w:val="28"/>
        </w:rPr>
        <w:t>)</w:t>
      </w:r>
      <w:r w:rsidRPr="001842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Вартість робіт відшкодуванню не підлягає. </w:t>
      </w:r>
    </w:p>
    <w:p w:rsidR="00F34A94" w:rsidRPr="006A551C" w:rsidRDefault="00F34A94" w:rsidP="006E4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A551C">
        <w:rPr>
          <w:rFonts w:ascii="Times New Roman" w:hAnsi="Times New Roman"/>
          <w:sz w:val="28"/>
          <w:szCs w:val="28"/>
        </w:rPr>
        <w:t>ОБҐРУНТУВАННЯ ШЛЯХІВ І ЗАСОБІВ РОЗВ’ЯЗАННЯ ПРОБЛЕМИ</w:t>
      </w:r>
      <w:r>
        <w:rPr>
          <w:rFonts w:ascii="Times New Roman" w:hAnsi="Times New Roman"/>
          <w:sz w:val="28"/>
          <w:szCs w:val="28"/>
        </w:rPr>
        <w:t xml:space="preserve">, ОБСЯГІВ ТА ДЖЕРЕЛ ФІНАНСУВАННЯ </w:t>
      </w:r>
    </w:p>
    <w:p w:rsidR="00F34A94" w:rsidRPr="00184295" w:rsidRDefault="00F34A94" w:rsidP="006E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6E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Завдання Програми планується вирішити шляхом створення нової системи, спеціально призначеної для потреб фінансування капітальних вкладень у енергоефективну модернізацію житлового фонду м. Чернігові із залученням коштів населення, бюджетних коштів та кредитних фінансових  ресурсів.</w:t>
      </w:r>
    </w:p>
    <w:p w:rsidR="00F34A94" w:rsidRPr="00184295" w:rsidRDefault="00F34A94" w:rsidP="006E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Важливим є те, що у процесі реалізації Програми виключно співвласники багатоквартирних будинків самостійно прийматимуть рішення щодо залучення кредитних коштів для впровадження заходів з енергозбереження у будинку, отримуючи при цьому фінансову допомогу з міського бюджету м. Чернігова.</w:t>
      </w:r>
    </w:p>
    <w:p w:rsidR="00F34A94" w:rsidRPr="00184295" w:rsidRDefault="00F34A94" w:rsidP="006E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Новим у підходах до проблем управління житловим фондом буде залучення за Програмою ОСББ, ЖБК у процес запозичення і управління коштами, спеціально призначеними для фінансування капітальних вкладень у енергоефективне оновлення житлового фонду.</w:t>
      </w:r>
    </w:p>
    <w:p w:rsidR="00F34A94" w:rsidRPr="00184295" w:rsidRDefault="00F34A94" w:rsidP="00E13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Програма спрямована на створення інституційного середовища та сприятливих умов для проведення та фінансування енергозберігаючих заходів житлових будинків із залученням коштів їхніх співвласників. Це здійснюватиметься шляхом проведення інформаційно-роз'яснювальної роботи серед мешканців міста щодо відносин співвласності в багатоквартирному будинку, їхніх прав і обов'язків як співвласників, щодо засад створення і діяльності ОСББ, а також принципів і механізмів фінансування капітального ремонту багатоквартирного будинку.</w:t>
      </w:r>
    </w:p>
    <w:p w:rsidR="00F34A94" w:rsidRPr="00184295" w:rsidRDefault="00F34A94" w:rsidP="00E13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Виділення з міського бюджету коштів на відшкодування </w:t>
      </w:r>
      <w:r>
        <w:rPr>
          <w:rFonts w:ascii="Times New Roman" w:hAnsi="Times New Roman"/>
          <w:sz w:val="28"/>
          <w:szCs w:val="28"/>
        </w:rPr>
        <w:t xml:space="preserve">частини суми тіла </w:t>
      </w:r>
      <w:r w:rsidRPr="00184295">
        <w:rPr>
          <w:rFonts w:ascii="Times New Roman" w:hAnsi="Times New Roman"/>
          <w:sz w:val="28"/>
          <w:szCs w:val="28"/>
        </w:rPr>
        <w:t xml:space="preserve">кредиту отриманого співвласникам багатоквартирних житлових будинків на проведення енергозберігаючих заходів </w:t>
      </w:r>
      <w:r>
        <w:rPr>
          <w:rFonts w:ascii="Times New Roman" w:hAnsi="Times New Roman"/>
          <w:sz w:val="28"/>
          <w:szCs w:val="28"/>
        </w:rPr>
        <w:t>стимулюватиме населення до самоорганізації і створення ОСББ</w:t>
      </w:r>
      <w:r w:rsidRPr="00184295">
        <w:rPr>
          <w:rFonts w:ascii="Times New Roman" w:hAnsi="Times New Roman"/>
          <w:sz w:val="28"/>
          <w:szCs w:val="28"/>
        </w:rPr>
        <w:t xml:space="preserve">. </w:t>
      </w:r>
    </w:p>
    <w:p w:rsidR="00F34A94" w:rsidRDefault="00F34A94" w:rsidP="003C1C1F">
      <w:pPr>
        <w:spacing w:before="60"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Виконання Програми буде здійснюватись шляхом реалізації наступного механізму.</w:t>
      </w:r>
    </w:p>
    <w:p w:rsidR="00F34A94" w:rsidRPr="00184295" w:rsidRDefault="00F34A94" w:rsidP="00E01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Правління ОСББ, ЖБК на підставі рішення загальних зборів визначає першочергові роботи та за власні кошти замовляє (виготовляє) проектно-кошторисну документацію на їх виконання, державну експертизу проекту та</w:t>
      </w:r>
      <w:r w:rsidRPr="00184295">
        <w:rPr>
          <w:rFonts w:ascii="Times New Roman" w:hAnsi="Times New Roman"/>
          <w:sz w:val="28"/>
          <w:szCs w:val="28"/>
        </w:rPr>
        <w:t xml:space="preserve"> укладає кредитний договір з кредитно-фінансовою установою відповідно до внутрішніх нормативних документів кредитно-фінансової установи.</w:t>
      </w:r>
    </w:p>
    <w:p w:rsidR="00F34A94" w:rsidRPr="00184295" w:rsidRDefault="00F34A94" w:rsidP="00E01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84295">
        <w:rPr>
          <w:rFonts w:ascii="Times New Roman" w:hAnsi="Times New Roman"/>
          <w:sz w:val="28"/>
          <w:szCs w:val="28"/>
        </w:rPr>
        <w:t xml:space="preserve">Кредитно-фінансові установи в десятиденний термін від дати підписання кредитного договору між кредитно-фінансовою установою та позичальником подають </w:t>
      </w:r>
      <w:r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міської ради - </w:t>
      </w:r>
      <w:r w:rsidRPr="00184295">
        <w:rPr>
          <w:rFonts w:ascii="Times New Roman" w:hAnsi="Times New Roman"/>
          <w:sz w:val="28"/>
          <w:szCs w:val="28"/>
        </w:rPr>
        <w:t>головному розпоряднику коштів реєстр позичальників, які отримали кредит для вищезазначених</w:t>
      </w:r>
      <w:r>
        <w:rPr>
          <w:rFonts w:ascii="Times New Roman" w:hAnsi="Times New Roman"/>
          <w:sz w:val="28"/>
          <w:szCs w:val="28"/>
        </w:rPr>
        <w:t xml:space="preserve"> цілей</w:t>
      </w:r>
      <w:r w:rsidRPr="00184295">
        <w:rPr>
          <w:rFonts w:ascii="Times New Roman" w:hAnsi="Times New Roman"/>
          <w:sz w:val="28"/>
          <w:szCs w:val="28"/>
        </w:rPr>
        <w:t>;</w:t>
      </w:r>
    </w:p>
    <w:p w:rsidR="00F34A94" w:rsidRPr="00184295" w:rsidRDefault="00F34A94" w:rsidP="00E01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84295">
        <w:rPr>
          <w:rFonts w:ascii="Times New Roman" w:hAnsi="Times New Roman"/>
          <w:sz w:val="28"/>
          <w:szCs w:val="28"/>
        </w:rPr>
        <w:t>Після отримання від позичальника повного пакету документів, перелік яких наведений у додатку 4 до Генерального договору, які підтверджують цільове використання кредитних коштів, кредитно-фінансові установи подають зведений реєстр позичальників, які взяли кредити у цих установах, де зазначається сума відшкодування частини</w:t>
      </w:r>
      <w:r>
        <w:rPr>
          <w:rFonts w:ascii="Times New Roman" w:hAnsi="Times New Roman"/>
          <w:sz w:val="28"/>
          <w:szCs w:val="28"/>
        </w:rPr>
        <w:t xml:space="preserve"> тіла</w:t>
      </w:r>
      <w:r w:rsidRPr="00184295">
        <w:rPr>
          <w:rFonts w:ascii="Times New Roman" w:hAnsi="Times New Roman"/>
          <w:sz w:val="28"/>
          <w:szCs w:val="28"/>
        </w:rPr>
        <w:t xml:space="preserve"> кредиту.</w:t>
      </w:r>
    </w:p>
    <w:p w:rsidR="00F34A94" w:rsidRPr="00184295" w:rsidRDefault="00F34A94" w:rsidP="00E01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84295">
        <w:rPr>
          <w:rFonts w:ascii="Times New Roman" w:hAnsi="Times New Roman"/>
          <w:sz w:val="28"/>
          <w:szCs w:val="28"/>
        </w:rPr>
        <w:t>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 надається не пізніше шістдесятиденного терміну від дати отримання зведеного реєстру від кредитно-фінансової установи, через перерахунок головним розпорядником коштів міського бюджету м. Чернігова на транзитний рахунок відповідної кредитно-фінансової установи, яка у свою чергу розподіляє ці кошти на позичкові рахунки Позичальників, про що головному розпоряднику коштів міського бюджету м. Чернігова надаються відповідні виписки чи підтверджуючі документи.</w:t>
      </w:r>
    </w:p>
    <w:p w:rsidR="00F34A94" w:rsidRPr="00184295" w:rsidRDefault="00F34A94" w:rsidP="00B56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51E7D">
        <w:rPr>
          <w:rFonts w:ascii="Times New Roman" w:hAnsi="Times New Roman"/>
          <w:sz w:val="28"/>
          <w:szCs w:val="28"/>
        </w:rPr>
        <w:t>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751E7D">
        <w:rPr>
          <w:rFonts w:ascii="Times New Roman" w:hAnsi="Times New Roman"/>
          <w:sz w:val="28"/>
          <w:szCs w:val="28"/>
        </w:rPr>
        <w:t xml:space="preserve"> кредиту з міського бюджету м. Чернігова   здійснюється головним розпорядником коштів, в особі управління житлово-комунального господарства міської ради у розмірах </w:t>
      </w:r>
      <w:r w:rsidRPr="00751E7D">
        <w:rPr>
          <w:rFonts w:ascii="Times New Roman" w:hAnsi="Times New Roman"/>
          <w:sz w:val="28"/>
          <w:szCs w:val="28"/>
          <w:lang w:eastAsia="ar-SA"/>
        </w:rPr>
        <w:t>передбачених Програмою</w:t>
      </w:r>
      <w:r w:rsidRPr="00184295">
        <w:rPr>
          <w:rFonts w:ascii="Times New Roman" w:hAnsi="Times New Roman"/>
          <w:sz w:val="28"/>
          <w:szCs w:val="28"/>
        </w:rPr>
        <w:t xml:space="preserve"> у порядку надходження від кредитно-фінансових установ зведених реєстрів позичальників у межах бюджетного асигнування на виконання Програми</w:t>
      </w:r>
      <w:r w:rsidRPr="00B563AE">
        <w:rPr>
          <w:rFonts w:ascii="Times New Roman" w:hAnsi="Times New Roman"/>
          <w:sz w:val="28"/>
          <w:szCs w:val="28"/>
        </w:rPr>
        <w:t xml:space="preserve"> </w:t>
      </w:r>
      <w:r w:rsidRPr="00184295">
        <w:rPr>
          <w:rFonts w:ascii="Times New Roman" w:hAnsi="Times New Roman"/>
          <w:sz w:val="28"/>
          <w:szCs w:val="28"/>
        </w:rPr>
        <w:t>на підставі Генерального договору про співробітництво між головним розпорядником коштів міського бюджету м. Чернігова, передбачених на фінансування заходів цієї Програми та кредитно-фінансовою установою, (надалі – Генеральний договір) (додаток до цієї Програми).</w:t>
      </w:r>
    </w:p>
    <w:p w:rsidR="00F34A94" w:rsidRPr="00184295" w:rsidRDefault="00F34A94" w:rsidP="00E01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Головний розпорядник коштів </w:t>
      </w:r>
      <w:r w:rsidRPr="00184295">
        <w:rPr>
          <w:rFonts w:ascii="Times New Roman" w:hAnsi="Times New Roman"/>
          <w:sz w:val="28"/>
          <w:szCs w:val="28"/>
        </w:rPr>
        <w:t>має право здійснювати заходи щодо перевірки пакетів документів позичальників та контроль за цільовим використанням кредитів, отриманих відповідно до цієї Програми, за умови попереднього письмового повідомлення про це кредитно-фінансової установи за 10 робочих днів.</w:t>
      </w:r>
    </w:p>
    <w:p w:rsidR="00F34A94" w:rsidRPr="00184295" w:rsidRDefault="00F34A94" w:rsidP="002C5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84295">
        <w:rPr>
          <w:rFonts w:ascii="Times New Roman" w:hAnsi="Times New Roman"/>
          <w:sz w:val="28"/>
          <w:szCs w:val="28"/>
        </w:rPr>
        <w:t>Бюджетні кошти</w:t>
      </w:r>
      <w:r>
        <w:rPr>
          <w:rFonts w:ascii="Times New Roman" w:hAnsi="Times New Roman"/>
          <w:sz w:val="28"/>
          <w:szCs w:val="28"/>
        </w:rPr>
        <w:t>,</w:t>
      </w:r>
      <w:r w:rsidRPr="00184295">
        <w:rPr>
          <w:rFonts w:ascii="Times New Roman" w:hAnsi="Times New Roman"/>
          <w:sz w:val="28"/>
          <w:szCs w:val="28"/>
        </w:rPr>
        <w:t xml:space="preserve"> що передбачені Програмою спрямовуються на здійснення енергозберігаючих заходів у житлових</w:t>
      </w:r>
      <w:r>
        <w:rPr>
          <w:rFonts w:ascii="Times New Roman" w:hAnsi="Times New Roman"/>
          <w:sz w:val="28"/>
          <w:szCs w:val="28"/>
        </w:rPr>
        <w:t xml:space="preserve"> будівлях ОСББ, ЖБК, зокрема на с</w:t>
      </w:r>
      <w:r w:rsidRPr="00184295">
        <w:rPr>
          <w:rFonts w:ascii="Times New Roman" w:hAnsi="Times New Roman"/>
          <w:sz w:val="28"/>
          <w:szCs w:val="28"/>
        </w:rPr>
        <w:t xml:space="preserve">тимулювання об’єднань співвласників багатоквартирних будинків, житлово-будівельних кооперативів до впровадження енергоефективних заходів шляхом відшкодування </w:t>
      </w:r>
      <w:r>
        <w:rPr>
          <w:rFonts w:ascii="Times New Roman" w:hAnsi="Times New Roman"/>
          <w:sz w:val="28"/>
          <w:szCs w:val="28"/>
        </w:rPr>
        <w:t>4</w:t>
      </w:r>
      <w:r w:rsidRPr="00184295">
        <w:rPr>
          <w:rFonts w:ascii="Times New Roman" w:hAnsi="Times New Roman"/>
          <w:sz w:val="28"/>
          <w:szCs w:val="28"/>
        </w:rPr>
        <w:t>0 % суми</w:t>
      </w:r>
      <w:r>
        <w:rPr>
          <w:rFonts w:ascii="Times New Roman" w:hAnsi="Times New Roman"/>
          <w:sz w:val="28"/>
          <w:szCs w:val="28"/>
        </w:rPr>
        <w:t xml:space="preserve"> тіла</w:t>
      </w:r>
      <w:r w:rsidRPr="00184295">
        <w:rPr>
          <w:rFonts w:ascii="Times New Roman" w:hAnsi="Times New Roman"/>
          <w:sz w:val="28"/>
          <w:szCs w:val="28"/>
        </w:rPr>
        <w:t xml:space="preserve"> кредиту</w:t>
      </w:r>
      <w:r>
        <w:rPr>
          <w:rFonts w:ascii="Times New Roman" w:hAnsi="Times New Roman"/>
          <w:sz w:val="28"/>
          <w:szCs w:val="28"/>
        </w:rPr>
        <w:t>,</w:t>
      </w:r>
      <w:r w:rsidRPr="00184295">
        <w:rPr>
          <w:rFonts w:ascii="Times New Roman" w:hAnsi="Times New Roman"/>
          <w:sz w:val="28"/>
          <w:szCs w:val="28"/>
        </w:rPr>
        <w:t xml:space="preserve"> але не більше </w:t>
      </w:r>
      <w:r>
        <w:rPr>
          <w:rFonts w:ascii="Times New Roman" w:hAnsi="Times New Roman"/>
          <w:sz w:val="28"/>
          <w:szCs w:val="28"/>
        </w:rPr>
        <w:t>1</w:t>
      </w:r>
      <w:r w:rsidRPr="00506C63">
        <w:rPr>
          <w:rFonts w:ascii="Times New Roman" w:hAnsi="Times New Roman"/>
          <w:sz w:val="28"/>
          <w:szCs w:val="28"/>
          <w:lang w:val="ru-RU"/>
        </w:rPr>
        <w:t>4</w:t>
      </w:r>
      <w:r w:rsidRPr="00184295">
        <w:rPr>
          <w:rFonts w:ascii="Times New Roman" w:hAnsi="Times New Roman"/>
          <w:sz w:val="28"/>
          <w:szCs w:val="28"/>
        </w:rPr>
        <w:t xml:space="preserve"> тис. грн. з розрахунку на одну квартиру багатоквартирного житлового будинку за одним кредитним договором, залученого на придбання енергоефективного обладнання та/або матеріалів, до яких належать:</w:t>
      </w:r>
    </w:p>
    <w:p w:rsidR="00F34A94" w:rsidRPr="00184295" w:rsidRDefault="00F34A94" w:rsidP="003C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 - обладнання та матеріали для облаштування індивідуальних теплових пунктів;</w:t>
      </w:r>
    </w:p>
    <w:p w:rsidR="00F34A94" w:rsidRPr="00184295" w:rsidRDefault="00F34A94" w:rsidP="003C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 - регулятори теплового потоку за погодними умовами та відповідне додаткове обладнання і матеріали до них;</w:t>
      </w:r>
    </w:p>
    <w:p w:rsidR="00F34A94" w:rsidRPr="00184295" w:rsidRDefault="00F34A94" w:rsidP="003C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 - вузли обліку води (гарячої, холодної) та теплової енергії, зокрема засоби обліку та відповідне додаткове обладнання і матеріали до них;</w:t>
      </w:r>
    </w:p>
    <w:p w:rsidR="00F34A94" w:rsidRPr="00184295" w:rsidRDefault="00F34A94" w:rsidP="003C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 - вікна з двокамерними енергоефективними склопакетами (з енергозберігаючим склом) для місць загального користування (зокрема, під’їздів, підвалів, технічних приміщень, горищ);</w:t>
      </w:r>
    </w:p>
    <w:p w:rsidR="00F34A94" w:rsidRPr="00184295" w:rsidRDefault="00F34A94" w:rsidP="003C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 - матеріали для проведення робіт з теплоізоляції зовнішніх стін, підвальних приміщень, горищ, покрівель та фундаментів;</w:t>
      </w:r>
    </w:p>
    <w:p w:rsidR="00F34A94" w:rsidRPr="00184295" w:rsidRDefault="00F34A94" w:rsidP="003C1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 - матеріали та обладнання для модернізації систем освітлення місць загального користування (у тому числі щодо заміни електропроводки, ламп та патронів до них, встановлення автоматичних вимикачів.</w:t>
      </w:r>
    </w:p>
    <w:p w:rsidR="00F34A94" w:rsidRPr="00184295" w:rsidRDefault="00F34A94" w:rsidP="003C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8. </w:t>
      </w:r>
      <w:r w:rsidRPr="00184295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Відшкодування позичальнику частини суми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тіла</w:t>
      </w:r>
      <w:r w:rsidRPr="0018429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кредиту за кожним заходом проводиться одноразово за одним кредитним договором один раз протягом одного бюджетного періоду.</w:t>
      </w:r>
    </w:p>
    <w:p w:rsidR="00F34A94" w:rsidRDefault="00F34A94" w:rsidP="003C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Бюджетні кошти не можуть бути направлені на сплату будь-яких штрафів та/або пені, нарахованих згідно з умовами  кредитного договору. </w:t>
      </w:r>
    </w:p>
    <w:p w:rsidR="00F34A94" w:rsidRDefault="00F34A94" w:rsidP="003C1C1F">
      <w:pPr>
        <w:spacing w:before="60"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F34A94" w:rsidRPr="006A551C" w:rsidRDefault="00F34A94" w:rsidP="00E139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A551C">
        <w:rPr>
          <w:rFonts w:ascii="Times New Roman" w:hAnsi="Times New Roman"/>
          <w:sz w:val="28"/>
          <w:szCs w:val="28"/>
        </w:rPr>
        <w:t>ЗАВДАННЯ ПРОГРАМИ</w:t>
      </w:r>
    </w:p>
    <w:p w:rsidR="00F34A94" w:rsidRPr="00184295" w:rsidRDefault="00F34A94" w:rsidP="00E1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E1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Основними завданнями Програми є:</w:t>
      </w:r>
    </w:p>
    <w:p w:rsidR="00F34A94" w:rsidRPr="00184295" w:rsidRDefault="00F34A94" w:rsidP="00E1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- підвищення енергоефективності житлових будівель та скорочення витрат енергоносіїв у житловому господарстві;</w:t>
      </w:r>
    </w:p>
    <w:p w:rsidR="00F34A94" w:rsidRPr="00184295" w:rsidRDefault="00F34A94" w:rsidP="00E1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- зменшення викидів парникових газів і поліпшення екологічного стану довкілля;</w:t>
      </w:r>
    </w:p>
    <w:p w:rsidR="00F34A94" w:rsidRPr="00184295" w:rsidRDefault="00F34A94" w:rsidP="00E13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4295">
        <w:rPr>
          <w:rFonts w:ascii="Times New Roman" w:hAnsi="Times New Roman"/>
          <w:sz w:val="28"/>
          <w:szCs w:val="28"/>
        </w:rPr>
        <w:t xml:space="preserve">- підвищення соціальної активності населення та спонукання його до самоорганізації </w:t>
      </w:r>
      <w:r w:rsidRPr="00184295">
        <w:rPr>
          <w:rFonts w:ascii="Times New Roman" w:hAnsi="Times New Roman"/>
          <w:color w:val="000000"/>
          <w:sz w:val="28"/>
          <w:szCs w:val="28"/>
          <w:lang w:eastAsia="ru-RU"/>
        </w:rPr>
        <w:t>і створення ОСББ;</w:t>
      </w:r>
    </w:p>
    <w:p w:rsidR="00F34A94" w:rsidRPr="00184295" w:rsidRDefault="00F34A94" w:rsidP="00E1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- комплексна інформаційно-консультаційна підтримка на всіх етапах створення та роботи ОСББ починаючи з моменту організації ініціативної групи зі створення ОСББ;</w:t>
      </w:r>
    </w:p>
    <w:p w:rsidR="00F34A94" w:rsidRPr="00184295" w:rsidRDefault="00F34A94" w:rsidP="00E1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- залучення у процесі реалізації Програми всіх доступних джерел фінансування: коштів населення, міського бюджету м. Чернігова та  ресурсів фінансово-кредитних установ задля забезпечення комфортних умов проживання, поліпшення технічного стану будівель та скорочення споживання всіх видів енергоносіїв;</w:t>
      </w:r>
    </w:p>
    <w:p w:rsidR="00F34A94" w:rsidRPr="00184295" w:rsidRDefault="00F34A94" w:rsidP="00E139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- проведення необхідної інформаційно-роз’яснювальної роботи щодо підтримки ОСББ та ЖБК на всіх етапах кредитування. </w:t>
      </w:r>
    </w:p>
    <w:p w:rsidR="00F34A94" w:rsidRDefault="00F34A94" w:rsidP="00452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452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Очікувані результати </w:t>
      </w:r>
      <w:r w:rsidRPr="00184295">
        <w:rPr>
          <w:rFonts w:ascii="Times New Roman" w:hAnsi="Times New Roman"/>
          <w:sz w:val="28"/>
          <w:szCs w:val="28"/>
        </w:rPr>
        <w:t>виконання Програми:</w:t>
      </w:r>
    </w:p>
    <w:p w:rsidR="00F34A94" w:rsidRPr="00184295" w:rsidRDefault="00F34A94" w:rsidP="00452B7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поліпшення енергоефективності конструкцій і внутрішньобудинкових систем житлових будівель;</w:t>
      </w:r>
    </w:p>
    <w:p w:rsidR="00F34A94" w:rsidRPr="00184295" w:rsidRDefault="00F34A94" w:rsidP="00452B7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поліпшення фізичного стану будинків та умов проживання в них;</w:t>
      </w:r>
    </w:p>
    <w:p w:rsidR="00F34A94" w:rsidRPr="00184295" w:rsidRDefault="00F34A94" w:rsidP="00452B7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зменшення та економічне споживання теплової енергії;</w:t>
      </w:r>
    </w:p>
    <w:p w:rsidR="00F34A94" w:rsidRPr="00184295" w:rsidRDefault="00F34A94" w:rsidP="00452B7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стимулювання дбайливого і відповідального ставлення мешканців міста до багатоквартирного житлового фонду.</w:t>
      </w:r>
    </w:p>
    <w:p w:rsidR="00F34A94" w:rsidRDefault="00F34A94" w:rsidP="00452B7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створення сприятливих умов для розвитку суспільних відносин та довіри між міською владою, кредитно-фінансовими установами та мешканцями міста</w:t>
      </w:r>
      <w:r>
        <w:rPr>
          <w:rFonts w:ascii="Times New Roman" w:hAnsi="Times New Roman"/>
          <w:sz w:val="28"/>
          <w:szCs w:val="28"/>
        </w:rPr>
        <w:t>;</w:t>
      </w:r>
    </w:p>
    <w:p w:rsidR="00F34A94" w:rsidRPr="00184295" w:rsidRDefault="00F34A94" w:rsidP="00452B7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зростання кількості ОСББ на 10 %</w:t>
      </w:r>
      <w:r w:rsidRPr="00184295">
        <w:rPr>
          <w:rFonts w:ascii="Times New Roman" w:hAnsi="Times New Roman"/>
          <w:sz w:val="28"/>
          <w:szCs w:val="28"/>
        </w:rPr>
        <w:t>.</w:t>
      </w:r>
    </w:p>
    <w:p w:rsidR="00F34A94" w:rsidRPr="006E340E" w:rsidRDefault="00F34A94" w:rsidP="00A01061">
      <w:pPr>
        <w:spacing w:before="60"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5338E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6A551C">
        <w:rPr>
          <w:rFonts w:ascii="Times New Roman" w:hAnsi="Times New Roman"/>
          <w:bCs/>
          <w:sz w:val="28"/>
          <w:szCs w:val="28"/>
        </w:rPr>
        <w:t>ПРОГНОЗОВАНЕ РЕСУРСНЕ ЗАБЕЗПЕЧЕННЯ ПРОГРАМИ</w:t>
      </w:r>
    </w:p>
    <w:p w:rsidR="00F34A94" w:rsidRPr="00184295" w:rsidRDefault="00F34A94" w:rsidP="00FD2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Фінансування Програми передбачається здійснювати за рахунок коштів міського бюджету з урахуванням наявних фінансових ресурсів, власних коштів співвласників та інших джерел.</w:t>
      </w:r>
    </w:p>
    <w:p w:rsidR="00F34A94" w:rsidRPr="00184295" w:rsidRDefault="00F34A94" w:rsidP="00FD2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72"/>
      <w:bookmarkEnd w:id="0"/>
      <w:r w:rsidRPr="00184295">
        <w:rPr>
          <w:rFonts w:ascii="Times New Roman" w:hAnsi="Times New Roman"/>
          <w:sz w:val="28"/>
          <w:szCs w:val="28"/>
        </w:rPr>
        <w:t>На відшкодування кредитів, отриманих  ОСББ, ЖБК на впровадження заходів з енергозбереження, реконструкції і модернізації багатоквартирних будинків у м.Чернігові, планується щороку передбачати в міському бюджеті кошти виходячи з прогнозованого ресурсного забезпечення Програми</w:t>
      </w:r>
      <w:r>
        <w:rPr>
          <w:rFonts w:ascii="Times New Roman" w:hAnsi="Times New Roman"/>
          <w:sz w:val="28"/>
          <w:szCs w:val="28"/>
        </w:rPr>
        <w:t>, обсяги якого можуть змінюватись залежно від фінансових можливостей міського бюджету.</w:t>
      </w:r>
    </w:p>
    <w:p w:rsidR="00F34A94" w:rsidRDefault="00F34A94" w:rsidP="00135BA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135BA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84295">
        <w:rPr>
          <w:rFonts w:ascii="Times New Roman" w:hAnsi="Times New Roman"/>
          <w:sz w:val="28"/>
          <w:szCs w:val="28"/>
        </w:rPr>
        <w:t xml:space="preserve">ідшкодування </w:t>
      </w:r>
      <w:r>
        <w:rPr>
          <w:rFonts w:ascii="Times New Roman" w:hAnsi="Times New Roman"/>
          <w:sz w:val="28"/>
          <w:szCs w:val="28"/>
        </w:rPr>
        <w:t xml:space="preserve">суми тіла </w:t>
      </w:r>
      <w:r w:rsidRPr="00184295">
        <w:rPr>
          <w:rFonts w:ascii="Times New Roman" w:hAnsi="Times New Roman"/>
          <w:sz w:val="28"/>
          <w:szCs w:val="28"/>
        </w:rPr>
        <w:t>кредитів, отриманих  ОСББ, ЖБК на впровадження заходів з енергозбереження, реконструкції і модернізації багатоквартирних будинків у м. Чернігові на 201</w:t>
      </w:r>
      <w:r>
        <w:rPr>
          <w:rFonts w:ascii="Times New Roman" w:hAnsi="Times New Roman"/>
          <w:sz w:val="28"/>
          <w:szCs w:val="28"/>
        </w:rPr>
        <w:t>6</w:t>
      </w:r>
      <w:r w:rsidRPr="0018429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184295">
        <w:rPr>
          <w:rFonts w:ascii="Times New Roman" w:hAnsi="Times New Roman"/>
          <w:sz w:val="28"/>
          <w:szCs w:val="28"/>
        </w:rPr>
        <w:t xml:space="preserve"> роки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42"/>
        <w:gridCol w:w="1126"/>
        <w:gridCol w:w="1058"/>
        <w:gridCol w:w="1080"/>
        <w:gridCol w:w="2338"/>
      </w:tblGrid>
      <w:tr w:rsidR="00F34A94" w:rsidRPr="00184295" w:rsidTr="00151255">
        <w:tc>
          <w:tcPr>
            <w:tcW w:w="2858" w:type="dxa"/>
            <w:vMerge w:val="restart"/>
            <w:vAlign w:val="center"/>
          </w:tcPr>
          <w:p w:rsidR="00F34A94" w:rsidRPr="00184295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Обсяг коштів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необхідних для</w:t>
            </w:r>
            <w:r w:rsidRPr="00184295">
              <w:rPr>
                <w:rFonts w:ascii="Times New Roman" w:hAnsi="Times New Roman"/>
                <w:sz w:val="28"/>
                <w:szCs w:val="28"/>
              </w:rPr>
              <w:t xml:space="preserve"> виконання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84295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6744" w:type="dxa"/>
            <w:gridSpan w:val="5"/>
            <w:vAlign w:val="center"/>
          </w:tcPr>
          <w:p w:rsidR="00F34A94" w:rsidRPr="00184295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(тис. грн.)</w:t>
            </w:r>
          </w:p>
        </w:tc>
      </w:tr>
      <w:tr w:rsidR="00F34A94" w:rsidRPr="00184295" w:rsidTr="00151255">
        <w:trPr>
          <w:trHeight w:val="800"/>
        </w:trPr>
        <w:tc>
          <w:tcPr>
            <w:tcW w:w="2858" w:type="dxa"/>
            <w:vMerge/>
            <w:vAlign w:val="center"/>
          </w:tcPr>
          <w:p w:rsidR="00F34A94" w:rsidRPr="00184295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F34A94" w:rsidRPr="00184295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84295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126" w:type="dxa"/>
            <w:vAlign w:val="center"/>
          </w:tcPr>
          <w:p w:rsidR="00F34A94" w:rsidRPr="00184295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184295"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058" w:type="dxa"/>
            <w:vAlign w:val="center"/>
          </w:tcPr>
          <w:p w:rsidR="00F34A94" w:rsidRPr="00184295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84295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080" w:type="dxa"/>
            <w:vAlign w:val="center"/>
          </w:tcPr>
          <w:p w:rsidR="00F34A94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4A94" w:rsidRPr="00184295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2338" w:type="dxa"/>
            <w:vAlign w:val="center"/>
          </w:tcPr>
          <w:p w:rsidR="00F34A94" w:rsidRPr="00184295" w:rsidRDefault="00F34A94" w:rsidP="007C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 xml:space="preserve">Усього витрат </w:t>
            </w:r>
          </w:p>
        </w:tc>
      </w:tr>
      <w:tr w:rsidR="00F34A94" w:rsidRPr="00184295" w:rsidTr="00151255">
        <w:tc>
          <w:tcPr>
            <w:tcW w:w="2858" w:type="dxa"/>
          </w:tcPr>
          <w:p w:rsidR="00F34A94" w:rsidRPr="00184295" w:rsidRDefault="00F34A94" w:rsidP="007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Обсяг ресурсів,</w:t>
            </w:r>
          </w:p>
          <w:p w:rsidR="00F34A94" w:rsidRPr="00184295" w:rsidRDefault="00F34A94" w:rsidP="007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усього,</w:t>
            </w:r>
          </w:p>
          <w:p w:rsidR="00F34A94" w:rsidRPr="00184295" w:rsidRDefault="00F34A94" w:rsidP="007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  <w:p w:rsidR="00F34A94" w:rsidRPr="00184295" w:rsidRDefault="00F34A94" w:rsidP="007C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142" w:type="dxa"/>
          </w:tcPr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Pr="00184295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126" w:type="dxa"/>
          </w:tcPr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Pr="00184295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058" w:type="dxa"/>
          </w:tcPr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Pr="00184295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080" w:type="dxa"/>
          </w:tcPr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  <w:p w:rsidR="00F34A94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Pr="00184295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338" w:type="dxa"/>
          </w:tcPr>
          <w:p w:rsidR="00F34A94" w:rsidRPr="00184295" w:rsidRDefault="00F34A94" w:rsidP="007C1A75">
            <w:pPr>
              <w:spacing w:after="0" w:line="240" w:lineRule="auto"/>
              <w:ind w:right="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Pr="00184295" w:rsidRDefault="00F34A94" w:rsidP="007C1A75">
            <w:pPr>
              <w:spacing w:after="0" w:line="240" w:lineRule="auto"/>
              <w:ind w:right="6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20 000,0</w:t>
            </w:r>
          </w:p>
          <w:p w:rsidR="00F34A94" w:rsidRPr="00184295" w:rsidRDefault="00F34A94" w:rsidP="007C1A75">
            <w:pPr>
              <w:spacing w:after="0" w:line="240" w:lineRule="auto"/>
              <w:ind w:right="610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4A94" w:rsidRPr="00184295" w:rsidRDefault="00F34A94" w:rsidP="007C1A75">
            <w:pPr>
              <w:spacing w:after="0" w:line="240" w:lineRule="auto"/>
              <w:ind w:right="610"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184295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F34A94" w:rsidRDefault="00F34A94" w:rsidP="00935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71"/>
      <w:bookmarkEnd w:id="1"/>
    </w:p>
    <w:p w:rsidR="00F34A94" w:rsidRDefault="00F34A94" w:rsidP="009E1D1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КООРДИНАЦІЯ ТА КОНТРОЛЬ ЗА ХОДОМ ВИКОНАННЯ ПРОГРАМИ</w:t>
      </w:r>
    </w:p>
    <w:p w:rsidR="00F34A94" w:rsidRDefault="00F34A94" w:rsidP="00935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A94" w:rsidRDefault="00F34A94" w:rsidP="00F102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Координацію і контроль за виконанням Програми здійснюють управління житлово-комунального господарства міської ради та </w:t>
      </w:r>
      <w:r w:rsidRPr="003C3ECE">
        <w:rPr>
          <w:rFonts w:ascii="Times New Roman" w:hAnsi="Times New Roman"/>
          <w:sz w:val="28"/>
          <w:szCs w:val="28"/>
        </w:rPr>
        <w:t xml:space="preserve">постійні комісії міської ради з </w:t>
      </w:r>
      <w:r w:rsidRPr="003C3ECE">
        <w:rPr>
          <w:rFonts w:ascii="Times New Roman" w:hAnsi="Times New Roman"/>
          <w:bCs/>
          <w:sz w:val="28"/>
          <w:szCs w:val="28"/>
        </w:rPr>
        <w:t>питань комунальної власності, бюджету та фінансів</w:t>
      </w:r>
      <w:r w:rsidRPr="003C3ECE">
        <w:rPr>
          <w:rFonts w:ascii="Times New Roman" w:hAnsi="Times New Roman"/>
          <w:sz w:val="28"/>
          <w:szCs w:val="28"/>
        </w:rPr>
        <w:t xml:space="preserve">, </w:t>
      </w:r>
      <w:r w:rsidRPr="003C3ECE">
        <w:rPr>
          <w:rFonts w:ascii="Times New Roman" w:hAnsi="Times New Roman"/>
          <w:bCs/>
          <w:sz w:val="28"/>
          <w:szCs w:val="28"/>
        </w:rPr>
        <w:t>з питань житлово-комунального господарства, транспорту і зв'язку та енергозбереження</w:t>
      </w:r>
      <w:r>
        <w:rPr>
          <w:rFonts w:ascii="Times New Roman" w:hAnsi="Times New Roman"/>
          <w:sz w:val="28"/>
          <w:szCs w:val="28"/>
        </w:rPr>
        <w:t>.</w:t>
      </w:r>
    </w:p>
    <w:p w:rsidR="00F34A94" w:rsidRDefault="00F34A94" w:rsidP="00935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A94" w:rsidRDefault="00F34A94" w:rsidP="00A45DED">
      <w:pPr>
        <w:spacing w:after="0" w:line="240" w:lineRule="auto"/>
        <w:ind w:left="451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10"/>
        <w:gridCol w:w="2200"/>
        <w:gridCol w:w="3960"/>
      </w:tblGrid>
      <w:tr w:rsidR="00F34A94" w:rsidTr="004123B1">
        <w:trPr>
          <w:trHeight w:val="609"/>
        </w:trPr>
        <w:tc>
          <w:tcPr>
            <w:tcW w:w="3410" w:type="dxa"/>
          </w:tcPr>
          <w:p w:rsidR="00F34A94" w:rsidRPr="004123B1" w:rsidRDefault="00F34A94" w:rsidP="00412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3B1"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2200" w:type="dxa"/>
          </w:tcPr>
          <w:p w:rsidR="00F34A94" w:rsidRPr="004123B1" w:rsidRDefault="00F34A94" w:rsidP="00412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F34A94" w:rsidRPr="004123B1" w:rsidRDefault="00F34A94" w:rsidP="004123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23B1">
              <w:rPr>
                <w:rFonts w:ascii="Times New Roman" w:hAnsi="Times New Roman"/>
                <w:sz w:val="28"/>
                <w:szCs w:val="28"/>
              </w:rPr>
              <w:t>В. Е. Бистров</w:t>
            </w:r>
          </w:p>
        </w:tc>
      </w:tr>
    </w:tbl>
    <w:p w:rsidR="00F34A94" w:rsidRDefault="00F34A94" w:rsidP="00A45DED">
      <w:pPr>
        <w:spacing w:after="0" w:line="240" w:lineRule="auto"/>
        <w:ind w:left="4510"/>
        <w:rPr>
          <w:rFonts w:ascii="Times New Roman" w:hAnsi="Times New Roman"/>
          <w:sz w:val="28"/>
          <w:szCs w:val="28"/>
        </w:rPr>
      </w:pPr>
    </w:p>
    <w:p w:rsidR="00F34A94" w:rsidRDefault="00F34A94" w:rsidP="00F9673F">
      <w:pPr>
        <w:spacing w:after="0" w:line="240" w:lineRule="auto"/>
        <w:ind w:left="4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Додаток </w:t>
      </w:r>
    </w:p>
    <w:p w:rsidR="00F34A94" w:rsidRPr="006A551C" w:rsidRDefault="00F34A94" w:rsidP="00A45DED">
      <w:pPr>
        <w:tabs>
          <w:tab w:val="right" w:leader="dot" w:pos="9356"/>
        </w:tabs>
        <w:spacing w:after="0" w:line="240" w:lineRule="auto"/>
        <w:ind w:left="4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Pr="006A551C">
        <w:rPr>
          <w:rFonts w:ascii="Times New Roman" w:hAnsi="Times New Roman"/>
          <w:sz w:val="28"/>
          <w:szCs w:val="28"/>
        </w:rPr>
        <w:t>Програми відшкодування кредитів, отриманих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51C">
        <w:rPr>
          <w:rFonts w:ascii="Times New Roman" w:hAnsi="Times New Roman"/>
          <w:sz w:val="28"/>
          <w:szCs w:val="28"/>
        </w:rPr>
        <w:t>ОСББ, ЖБК на впровадження заходів з енергозбереження у житловому фонді м. Чернігова на 2016–2019 роки</w:t>
      </w:r>
    </w:p>
    <w:p w:rsidR="00F34A94" w:rsidRDefault="00F34A94" w:rsidP="00E860F3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A45D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ГЕНЕРАЛЬНИЙ ДОГОВІР №____</w:t>
      </w:r>
    </w:p>
    <w:p w:rsidR="00F34A94" w:rsidRPr="00184295" w:rsidRDefault="00F34A94" w:rsidP="00A45D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про співробітництво</w:t>
      </w:r>
    </w:p>
    <w:p w:rsidR="00F34A94" w:rsidRPr="00184295" w:rsidRDefault="00F34A94" w:rsidP="00184295">
      <w:pPr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м. Чернігів                                                                    “___“_________ _____року</w:t>
      </w:r>
    </w:p>
    <w:p w:rsidR="00F34A94" w:rsidRPr="00184295" w:rsidRDefault="00F34A94" w:rsidP="00184295">
      <w:pPr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 </w:t>
      </w:r>
      <w:r w:rsidRPr="00184295">
        <w:rPr>
          <w:rFonts w:ascii="Times New Roman" w:hAnsi="Times New Roman"/>
          <w:sz w:val="28"/>
          <w:szCs w:val="28"/>
        </w:rPr>
        <w:tab/>
        <w:t>Головний розпорядник коштів міського бюджету м. Чернігові (надалі – розпорядник коштів), в особі начальника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95"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житлово-комунального господарства</w:t>
      </w:r>
      <w:r w:rsidRPr="0018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</w:t>
      </w:r>
      <w:r w:rsidRPr="00184295">
        <w:rPr>
          <w:rFonts w:ascii="Times New Roman" w:hAnsi="Times New Roman"/>
          <w:sz w:val="28"/>
          <w:szCs w:val="28"/>
        </w:rPr>
        <w:t>, який діє на підставі Положення про Управління з однієї сторони та _________________________________(надалі – Кредитно-фінансова установа), в особі __________________________, який діє на підставі _______________________________ з іншої сторони (надалі – Сторони), уклали цей договір про таке: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1. Предмет договору</w:t>
      </w:r>
    </w:p>
    <w:p w:rsidR="00F34A94" w:rsidRPr="00184295" w:rsidRDefault="00F34A94" w:rsidP="001842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1.1. Предметом цього договору є встановлення основних умов та принципів співпраці Сторін у процесі відшкодування Розпорядником коштів частини кредиту, отриманого ОСББ, ЖБК (надалі – відшкодування частини кредиту) на цілі енергозбереження та енергоефективної модернізації житлових будинків, у кредитно-фінансовій установі на цілі, передбачені </w:t>
      </w:r>
      <w:r w:rsidRPr="00184295">
        <w:rPr>
          <w:rFonts w:ascii="Times New Roman" w:hAnsi="Times New Roman"/>
          <w:bCs/>
          <w:sz w:val="28"/>
          <w:szCs w:val="28"/>
        </w:rPr>
        <w:t xml:space="preserve">Програмою </w:t>
      </w:r>
      <w:r w:rsidRPr="00184295">
        <w:rPr>
          <w:rFonts w:ascii="Times New Roman" w:hAnsi="Times New Roman"/>
          <w:sz w:val="28"/>
          <w:szCs w:val="28"/>
        </w:rPr>
        <w:t>відшкодування кредитів, отриманих ОСББ, ЖБК на впровадження заходів з енергозбереження у житловому фонді м. Чернігова на 201</w:t>
      </w:r>
      <w:r>
        <w:rPr>
          <w:rFonts w:ascii="Times New Roman" w:hAnsi="Times New Roman"/>
          <w:sz w:val="28"/>
          <w:szCs w:val="28"/>
        </w:rPr>
        <w:t>6</w:t>
      </w:r>
      <w:r w:rsidRPr="00184295">
        <w:rPr>
          <w:rFonts w:ascii="Times New Roman" w:hAnsi="Times New Roman"/>
          <w:sz w:val="28"/>
          <w:szCs w:val="28"/>
        </w:rPr>
        <w:t>–201</w:t>
      </w:r>
      <w:r>
        <w:rPr>
          <w:rFonts w:ascii="Times New Roman" w:hAnsi="Times New Roman"/>
          <w:sz w:val="28"/>
          <w:szCs w:val="28"/>
        </w:rPr>
        <w:t>9</w:t>
      </w:r>
      <w:r w:rsidRPr="00184295">
        <w:rPr>
          <w:rFonts w:ascii="Times New Roman" w:hAnsi="Times New Roman"/>
          <w:sz w:val="28"/>
          <w:szCs w:val="28"/>
        </w:rPr>
        <w:t xml:space="preserve"> роки (надалі – Програма), у розмірах та у порядку, визначеному цим договором.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1.2. Розпорядник коштів  відшкодовує частину кредиту, отриманого ОСББ, ЖБК (надалі – Позичальники) на цілі енергозбереження та енергоефективної модернізації житлових будинків (додаток 1 до цього договору) у кредитно-фінансовій установі у розмірі до </w:t>
      </w:r>
      <w:r>
        <w:rPr>
          <w:rFonts w:ascii="Times New Roman" w:hAnsi="Times New Roman"/>
          <w:sz w:val="28"/>
          <w:szCs w:val="28"/>
        </w:rPr>
        <w:t>4</w:t>
      </w:r>
      <w:r w:rsidRPr="00184295">
        <w:rPr>
          <w:rFonts w:ascii="Times New Roman" w:hAnsi="Times New Roman"/>
          <w:sz w:val="28"/>
          <w:szCs w:val="28"/>
        </w:rPr>
        <w:t xml:space="preserve">0 відсотків від максимального розміру основної суми тіла кредиту, але не більше </w:t>
      </w:r>
      <w:r>
        <w:rPr>
          <w:rFonts w:ascii="Times New Roman" w:hAnsi="Times New Roman"/>
          <w:sz w:val="28"/>
          <w:szCs w:val="28"/>
        </w:rPr>
        <w:t>14</w:t>
      </w:r>
      <w:r w:rsidRPr="00184295">
        <w:rPr>
          <w:rFonts w:ascii="Times New Roman" w:hAnsi="Times New Roman"/>
          <w:sz w:val="28"/>
          <w:szCs w:val="28"/>
        </w:rPr>
        <w:t xml:space="preserve"> тис. грн. з розрахунку на одну квартиру багатоквартирного житлового будинку за одним кредитним договором, на придбання енергоефективного обладнання та/або матеріалів необхідних для виконання заходів з енергозбереження багатоквартирних будинків згідно з Програмою.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1.3. Кредитування позичальників здійснюється кредитно-фінансовою установою відповідно до внутрішніх нормативних документів кредитно-фінансової установи.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1.4. Кредити надаються виключно у національній валюті на підставі цього договору та поданих зведених реєстрів.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2. Основні завдання Сторін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2.1. Для  досягнення цілей за цим договором Сторони зобов'язуються: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2.1.1. Спрямовувати зусилля на виконання умов Програми.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2.1.2. Проводити заходи щодо пошуку позичальників, які бажають отримати кредит у кредитно-фінансовій установі та отримати право на відшкодування частини такого кредиту відповідно до умов Програми.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2.1.3. Обмінюватися наявною в їх розпорядженні інформацією, яка стосується предмету цього договору, проводити спільні консультації і переговори, встановлювати науково-технічні та комерційно-фінансові зв’язки з третіми особами й інформувати один одного про результати подібних контактів. 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3. Обов'язки і права Розпорядника коштів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3.1. Розпорядник коштів зобов'язується: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3.1.1. Прийняти, розглянути сформовані кредитно-фінансовою установою реєстри позичальників, які отримали кредит на цілі, передбачені у Програмі.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3.1.2. Відшкодовувати частину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 за кредитним договором, відповідно до реєстру позичальників, наданого кредитно-фінансовою установою, згідно з підпунктами 3.1.1 цього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3.1.3. Прийняти, розглянути сформовані кредитно-фінансовою установою зведені реєстри позичальників згідно з підпунктом 4.1.6 цього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3.1.4. Не пізніше шістдесятиденного терміну від дати отримання зведеного реєстру від кредитно-фінансової установи (але не пізніше 20 грудня року, у якому був отриманий кредит) перераховувати кошти 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 за залученими кредитними коштами ОСББ </w:t>
      </w:r>
      <w:r>
        <w:rPr>
          <w:rFonts w:ascii="Times New Roman" w:hAnsi="Times New Roman"/>
          <w:sz w:val="28"/>
          <w:szCs w:val="28"/>
        </w:rPr>
        <w:t>і</w:t>
      </w:r>
      <w:r w:rsidRPr="00184295">
        <w:rPr>
          <w:rFonts w:ascii="Times New Roman" w:hAnsi="Times New Roman"/>
          <w:sz w:val="28"/>
          <w:szCs w:val="28"/>
        </w:rPr>
        <w:t xml:space="preserve"> ЖБК, відповідно до зведених реєстрів на транзитний рахунок №_______________, що відкритий у кредитно-фінансовій установі.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3.1.5. Повідомляти кредитно-фінансову установу про всі зміни, що можуть вплинути на виконання Сторонами умов цього договору за 3 дні до набрання ними чинності.</w:t>
      </w:r>
    </w:p>
    <w:p w:rsidR="00F34A94" w:rsidRPr="00184295" w:rsidRDefault="00F34A94" w:rsidP="00184295">
      <w:pPr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ab/>
        <w:t xml:space="preserve">3.1.6. Не розголошувати відомості, які становлять банківську та комерційну таємницю кредитно-фінансової установи, а також відомості, які стали відомі </w:t>
      </w:r>
      <w:r>
        <w:rPr>
          <w:rFonts w:ascii="Times New Roman" w:hAnsi="Times New Roman"/>
          <w:sz w:val="28"/>
          <w:szCs w:val="28"/>
        </w:rPr>
        <w:t xml:space="preserve">головному розпоряднику коштів </w:t>
      </w:r>
      <w:r w:rsidRPr="00184295">
        <w:rPr>
          <w:rFonts w:ascii="Times New Roman" w:hAnsi="Times New Roman"/>
          <w:sz w:val="28"/>
          <w:szCs w:val="28"/>
        </w:rPr>
        <w:t>у зв'язку з виконанням обов'язків за цим договором.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3.1.7. Виконувати інші зобов’язання за цим договором.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3.2. Розпорядник коштів має право: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3.2.1. Вносити на розгляд кредитно-фінансової установи пропозиції щодо вдосконалення правовідносин за цим договором, а також схеми кредитування Позичальників.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3.2.2. Здійснювати контроль за дотриманням кредитно-фінансовою установою умов цього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3.2.3. Здійснювати заходи з перевірки пакетів документів позичальників </w:t>
      </w:r>
      <w:r w:rsidRPr="003313E7">
        <w:rPr>
          <w:rFonts w:ascii="Times New Roman" w:hAnsi="Times New Roman"/>
          <w:sz w:val="28"/>
          <w:szCs w:val="28"/>
        </w:rPr>
        <w:t>(згідно з додатком 4 до цього договору)</w:t>
      </w:r>
      <w:r w:rsidRPr="00184295">
        <w:rPr>
          <w:rFonts w:ascii="Times New Roman" w:hAnsi="Times New Roman"/>
          <w:sz w:val="28"/>
          <w:szCs w:val="28"/>
        </w:rPr>
        <w:t xml:space="preserve"> та контроль за цільов</w:t>
      </w:r>
      <w:r>
        <w:rPr>
          <w:rFonts w:ascii="Times New Roman" w:hAnsi="Times New Roman"/>
          <w:sz w:val="28"/>
          <w:szCs w:val="28"/>
        </w:rPr>
        <w:t>им</w:t>
      </w:r>
      <w:r w:rsidRPr="00184295">
        <w:rPr>
          <w:rFonts w:ascii="Times New Roman" w:hAnsi="Times New Roman"/>
          <w:sz w:val="28"/>
          <w:szCs w:val="28"/>
        </w:rPr>
        <w:t xml:space="preserve"> використання</w:t>
      </w:r>
      <w:r>
        <w:rPr>
          <w:rFonts w:ascii="Times New Roman" w:hAnsi="Times New Roman"/>
          <w:sz w:val="28"/>
          <w:szCs w:val="28"/>
        </w:rPr>
        <w:t>м</w:t>
      </w:r>
      <w:r w:rsidRPr="00184295">
        <w:rPr>
          <w:rFonts w:ascii="Times New Roman" w:hAnsi="Times New Roman"/>
          <w:sz w:val="28"/>
          <w:szCs w:val="28"/>
        </w:rPr>
        <w:t xml:space="preserve"> кредитів, отриманих за Програмою, відповідно до умов цього договору за умови попереднього письмового повідомлення про це кредитно-фінансової установи за 10 робочих днів.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4. Обов'язки і права Кредитно-фінансової установи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 Кредитно-фінансова установа зобов'язується: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4.1.1. Надавати кредити позичальникам на цілі, передбачені у Програмі, у порядку, передбаченому внутрішніми нормативними документами кредитно-фінансової установи.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4.1.2. Визначати суму коштів, яка необхідна для відшкодування частини кредиту за кредитним договором за кожним позичальником окремо, виходячи з умов, передбачених у пункті 1.3 цього договору та відобразити у зведеному реєстрі.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4.1.3. Формувати та зберігати у кредитно-фінансовій установі за кожним позичальником, який отримав кредит у кредитно-фінансовій установі відповідно до умов цього договору, пакет документів згідно з переліком, наведеним у додатку 4 до цього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4.1.4. Формувати реєстр позичальників, які отримали кредит у кредитно-фінансовій установі на цілі, передбачені цим договором, згідно з формою, наведеною у додатку 2 до цього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4.1.5. Не пізніше десятиденного терміну від дати підписання кредитного договору між кредитно-фінансовою установою та ОСББ, ЖБК подавати розпоряднику коштів реєстр позичальників, які отримали кредит за Програмою.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4.1.6. Після отримання від клієнта повного пакету документів, наведеного у додатку 4 до цього договору,</w:t>
      </w:r>
      <w:r w:rsidRPr="001842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4295">
        <w:rPr>
          <w:rFonts w:ascii="Times New Roman" w:hAnsi="Times New Roman"/>
          <w:sz w:val="28"/>
          <w:szCs w:val="28"/>
        </w:rPr>
        <w:t>формувати та подавати розпоряднику коштів зведений реєстр позичальників згідно з формою, наведеною у додатку 3 до цього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4.1.7. Перераховувати скеровані розпорядником коштів на рахунок кредитно-фінансової установи кошти, призначені для відшкодування частини кредиту на позичкові рахунки позичальників, відповідно до умов цього договору та інших договорів, укладених у межах цього договору, для погашення основної суми кредиту (тіла кредиту) позичальника. 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4.1.8. У разі повного дострокового погашення кредиту до часу надходження коштів, призначених на 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кредиту, повідомляти розпорядника коштів про повне дострокове погашення кредиту на наступний робочий день після його погашення.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4.1.9. У разі, коли сума заборгованості за кредитом позичальника на час надходження коштів з 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 є меншою від розміру відшкодування частини кредиту, перераховувати різницю таких коштів на рахунок розпорядника коштів.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4.1.10. Здійснювати заходи з популяризації Програми щодо 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</w:t>
      </w:r>
      <w:r w:rsidRPr="00184295">
        <w:rPr>
          <w:rFonts w:ascii="Times New Roman" w:hAnsi="Times New Roman"/>
          <w:sz w:val="28"/>
          <w:szCs w:val="28"/>
        </w:rPr>
        <w:t xml:space="preserve"> кредиту позичальникам, які отримали кредит у кредитно-фінансовій установі на цілі, передбачені у Програмі.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4.1.11. Виконувати інші зобов’язання за цим договором.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4.1.12. У кредитних договорах, які укладатимуться з Позичальниками у графі “Ціль кредитування“ зазначати “у межах Програми“ з подальшим переліком робіт, на які надається кредит.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4.2. Кредитно-фінансова установа має право: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4.2.1. Відмовити позичальнику у наданні кредиту у разі: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4.2.1.1. Невідповідності позичальника вимогам кредитно-фінансової установи та умовам цього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4.2.1.2. Прийняття кредитним комітетом кредитно-фінансової установи рішення про відмову у видачі кредиту.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5. Відповідальність сторін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5.1. У разі невиконання чи неналежного виконання зобов’язань, передбачених цим договором, винна Сторона відшкодовує іншій Стороні всі завдані у зв’язку з цим збитки.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5.2. Кредитно-фінансова установа несе відповідальність за невключення осіб, які отримали кредит за Програмою у зведений реєстр згідно з додатком 3 до цього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5.3. Розпорядник коштів не несе відповідальності за несвоєчасне перерахування коштів для 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 позичальників з міського бюджету м. </w:t>
      </w:r>
      <w:r>
        <w:rPr>
          <w:rFonts w:ascii="Times New Roman" w:hAnsi="Times New Roman"/>
          <w:sz w:val="28"/>
          <w:szCs w:val="28"/>
          <w:lang w:val="ru-RU"/>
        </w:rPr>
        <w:t>Черн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гова</w:t>
      </w:r>
      <w:r w:rsidRPr="00184295">
        <w:rPr>
          <w:rFonts w:ascii="Times New Roman" w:hAnsi="Times New Roman"/>
          <w:sz w:val="28"/>
          <w:szCs w:val="28"/>
        </w:rPr>
        <w:t>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5.4. Кредитно-фінансова установа не несе відповідальності за відмову розпорядника коштів здійснювати 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 згідно зі сформованими кредитно-фінансовою установою зведеними реєстрами.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6. Форс-мажорні обставини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6.1. Сторони звільняються від відповідальності за невиконання будь-якого з положень цього договору, якщо це стало наслідком причин, що є поза сферою контролю невиконуючої сторони. Такі причини це: стихійне лихо, екстремальні погодні умови, перебої електроенергії та телекомунікацій, збої комп’ютерних систем, пожежі, страйки, військові дії, громадське безладдя і тощо, але не обмежуються ними.</w:t>
      </w:r>
    </w:p>
    <w:p w:rsidR="00F34A94" w:rsidRPr="003313E7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3313E7">
        <w:rPr>
          <w:rFonts w:ascii="Times New Roman" w:hAnsi="Times New Roman"/>
          <w:b/>
          <w:sz w:val="28"/>
          <w:szCs w:val="28"/>
        </w:rPr>
        <w:t>7. Строк дії договору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7.1. Цей договір набуває чинності з дня його підписання Сторонами і діє до повного виконання Сторонами  зобов’язань за цим договором.</w:t>
      </w:r>
    </w:p>
    <w:p w:rsidR="00F34A94" w:rsidRPr="00184295" w:rsidRDefault="00F34A94" w:rsidP="00184295">
      <w:pPr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 </w:t>
      </w:r>
      <w:r w:rsidRPr="00184295">
        <w:rPr>
          <w:rFonts w:ascii="Times New Roman" w:hAnsi="Times New Roman"/>
          <w:sz w:val="28"/>
          <w:szCs w:val="28"/>
        </w:rPr>
        <w:tab/>
        <w:t>7.2. Цей договір може бути розірваний лише за згодою Сторін. Сторона, що бажає розірвати договір подає заяву не раніше ніж за 30 днів до пропонованого дня припинення дії договору.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7.3. Після закінчення дії договору розпорядник коштів зобов’язується здійснювати 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кредиту, відповідно до  сформованих кредитно-фінансовою установою зведених реєстрів до повного виконання позичальником зобов’язань за кредитом.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8. Прикінцеві положення</w:t>
      </w:r>
    </w:p>
    <w:p w:rsidR="00F34A94" w:rsidRPr="00184295" w:rsidRDefault="00F34A94" w:rsidP="00184295">
      <w:pPr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ab/>
        <w:t xml:space="preserve">8.1. Будь-які зміни і доповнення  до цього договору вносяться лише за згодою Сторін, через укладення додаткових договорів. 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8.2. У разі виникнення спорів у ході виконання цього договору Сторони намагатимуться вирішувати їх шляхом переговорів. Зацікавлена Сторона має право звернутися до суду, якщо під час переговорів Сторони не дійшли згоди щодо врегулювання спору.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8.3. Цей договір складено у двох оригінальних примірниках, по одному для кожної зі Сторін, кожний з яких має однакову юридичну силу.</w:t>
      </w:r>
    </w:p>
    <w:p w:rsidR="00F34A94" w:rsidRPr="00184295" w:rsidRDefault="00F34A94" w:rsidP="001842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8.4. Розпорядник коштів підтверджує, що позичальники, внесені до зведених реєстрів згідно з кредитними договорами та умовами цього договору, є учасниками Програми та зобов’язується відповідно до умов цього договору відшкодовувати частину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184295">
        <w:rPr>
          <w:rFonts w:ascii="Times New Roman" w:hAnsi="Times New Roman"/>
          <w:sz w:val="28"/>
          <w:szCs w:val="28"/>
        </w:rPr>
        <w:t xml:space="preserve"> кредиту позичальника. 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9. Місце знаходження та реквізити Сторін</w:t>
      </w:r>
    </w:p>
    <w:p w:rsidR="00F34A94" w:rsidRPr="00184295" w:rsidRDefault="00F34A94" w:rsidP="00184295">
      <w:pPr>
        <w:jc w:val="center"/>
        <w:rPr>
          <w:rFonts w:ascii="Times New Roman" w:hAnsi="Times New Roman"/>
          <w:b/>
          <w:sz w:val="28"/>
          <w:szCs w:val="28"/>
        </w:rPr>
      </w:pPr>
      <w:r w:rsidRPr="00184295">
        <w:rPr>
          <w:rFonts w:ascii="Times New Roman" w:hAnsi="Times New Roman"/>
          <w:b/>
          <w:sz w:val="28"/>
          <w:szCs w:val="28"/>
        </w:rPr>
        <w:t>……..</w:t>
      </w:r>
    </w:p>
    <w:p w:rsidR="00F34A94" w:rsidRPr="00184295" w:rsidRDefault="00F34A94" w:rsidP="00184295">
      <w:pPr>
        <w:ind w:left="5600"/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br w:type="page"/>
        <w:t>Додаток 1</w:t>
      </w:r>
    </w:p>
    <w:p w:rsidR="00F34A94" w:rsidRPr="00184295" w:rsidRDefault="00F34A94" w:rsidP="00184295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до Генерального договору</w:t>
      </w:r>
    </w:p>
    <w:p w:rsidR="00F34A94" w:rsidRPr="00184295" w:rsidRDefault="00F34A94" w:rsidP="00184295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про співробітництво №_____</w:t>
      </w:r>
    </w:p>
    <w:p w:rsidR="00F34A94" w:rsidRPr="00184295" w:rsidRDefault="00F34A94" w:rsidP="00184295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від “____“__________201___</w:t>
      </w:r>
    </w:p>
    <w:p w:rsidR="00F34A94" w:rsidRPr="00184295" w:rsidRDefault="00F34A94" w:rsidP="00184295">
      <w:pPr>
        <w:jc w:val="both"/>
        <w:rPr>
          <w:rFonts w:ascii="Times New Roman" w:hAnsi="Times New Roman"/>
          <w:sz w:val="28"/>
          <w:szCs w:val="28"/>
        </w:rPr>
      </w:pPr>
    </w:p>
    <w:p w:rsidR="00F34A94" w:rsidRPr="00184295" w:rsidRDefault="00F34A94" w:rsidP="00184295">
      <w:pPr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ЦІЛІ КРЕДИТУВАННЯ,</w:t>
      </w:r>
    </w:p>
    <w:p w:rsidR="00F34A94" w:rsidRPr="00184295" w:rsidRDefault="00F34A94" w:rsidP="00184295">
      <w:pPr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>які забезпечують енергоощадність та підпадають</w:t>
      </w:r>
    </w:p>
    <w:p w:rsidR="00F34A94" w:rsidRDefault="00F34A94" w:rsidP="00184295">
      <w:pPr>
        <w:jc w:val="center"/>
        <w:rPr>
          <w:rFonts w:ascii="Times New Roman" w:hAnsi="Times New Roman"/>
          <w:sz w:val="28"/>
          <w:szCs w:val="28"/>
        </w:rPr>
      </w:pPr>
      <w:r w:rsidRPr="00184295">
        <w:rPr>
          <w:rFonts w:ascii="Times New Roman" w:hAnsi="Times New Roman"/>
          <w:sz w:val="28"/>
          <w:szCs w:val="28"/>
        </w:rPr>
        <w:t xml:space="preserve">під відшкодування </w:t>
      </w:r>
      <w:r>
        <w:rPr>
          <w:rFonts w:ascii="Times New Roman" w:hAnsi="Times New Roman"/>
          <w:sz w:val="28"/>
          <w:szCs w:val="28"/>
        </w:rPr>
        <w:t xml:space="preserve">частини суми тіла кредиту отриманих ОСББ та/або ЖБК </w:t>
      </w:r>
    </w:p>
    <w:p w:rsidR="00F34A94" w:rsidRPr="00184295" w:rsidRDefault="00F34A94" w:rsidP="001842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впровадження заходів з енергозбереження в житловому фонді м. Чернігова </w:t>
      </w:r>
    </w:p>
    <w:p w:rsidR="00F34A94" w:rsidRPr="00184295" w:rsidRDefault="00F34A94" w:rsidP="0018429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536"/>
      </w:tblGrid>
      <w:tr w:rsidR="00F34A94" w:rsidRPr="00184295" w:rsidTr="003F6B44">
        <w:trPr>
          <w:cantSplit/>
          <w:trHeight w:val="910"/>
          <w:jc w:val="center"/>
        </w:trPr>
        <w:tc>
          <w:tcPr>
            <w:tcW w:w="640" w:type="dxa"/>
            <w:vAlign w:val="center"/>
          </w:tcPr>
          <w:p w:rsidR="00F34A94" w:rsidRPr="00184295" w:rsidRDefault="00F34A94" w:rsidP="003F6B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8536" w:type="dxa"/>
            <w:vAlign w:val="center"/>
          </w:tcPr>
          <w:p w:rsidR="00F34A94" w:rsidRPr="00184295" w:rsidRDefault="00F34A94" w:rsidP="003F6B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Цілі</w:t>
            </w:r>
          </w:p>
        </w:tc>
      </w:tr>
      <w:tr w:rsidR="00F34A94" w:rsidRPr="00184295" w:rsidTr="003F6B44">
        <w:trPr>
          <w:jc w:val="center"/>
        </w:trPr>
        <w:tc>
          <w:tcPr>
            <w:tcW w:w="640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6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Облаштування індивідуальних теплових пунктів (ІТП)</w:t>
            </w:r>
          </w:p>
        </w:tc>
      </w:tr>
      <w:tr w:rsidR="00F34A94" w:rsidRPr="00184295" w:rsidTr="003F6B44">
        <w:trPr>
          <w:jc w:val="center"/>
        </w:trPr>
        <w:tc>
          <w:tcPr>
            <w:tcW w:w="640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6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Встановлення  регуляторів теплового потоку за погодними умовами та відповідного додаткового обладнання;</w:t>
            </w:r>
          </w:p>
        </w:tc>
      </w:tr>
      <w:tr w:rsidR="00F34A94" w:rsidRPr="00184295" w:rsidTr="003F6B44">
        <w:trPr>
          <w:jc w:val="center"/>
        </w:trPr>
        <w:tc>
          <w:tcPr>
            <w:tcW w:w="640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6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Встановлення вузлів обліку води (гарячої та холодної) та теплової енергії та відповідного додаткового обладнання;</w:t>
            </w:r>
          </w:p>
        </w:tc>
      </w:tr>
      <w:tr w:rsidR="00F34A94" w:rsidRPr="00184295" w:rsidTr="003F6B44">
        <w:trPr>
          <w:jc w:val="center"/>
        </w:trPr>
        <w:tc>
          <w:tcPr>
            <w:tcW w:w="640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6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Заміна вікон на енергоефективні з двокамерними енергоефективними склопакетами (з енергозберігаючим склом) для місць загального користування (під</w:t>
            </w:r>
            <w:r w:rsidRPr="00501F0D">
              <w:rPr>
                <w:rFonts w:ascii="Times New Roman" w:hAnsi="Times New Roman"/>
                <w:sz w:val="28"/>
                <w:szCs w:val="28"/>
              </w:rPr>
              <w:t>'</w:t>
            </w:r>
            <w:r w:rsidRPr="00184295">
              <w:rPr>
                <w:rFonts w:ascii="Times New Roman" w:hAnsi="Times New Roman"/>
                <w:sz w:val="28"/>
                <w:szCs w:val="28"/>
              </w:rPr>
              <w:t>їздів, підвалів, технічних приміщень, горищ)</w:t>
            </w:r>
          </w:p>
        </w:tc>
      </w:tr>
      <w:tr w:rsidR="00F34A94" w:rsidRPr="00184295" w:rsidTr="003F6B44">
        <w:trPr>
          <w:jc w:val="center"/>
        </w:trPr>
        <w:tc>
          <w:tcPr>
            <w:tcW w:w="640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6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 xml:space="preserve">Проведення робіт з теплоізоляції зовнішніх стін, підвальних приміщень, горищ, покрівель та фундаментів; </w:t>
            </w:r>
          </w:p>
        </w:tc>
      </w:tr>
      <w:tr w:rsidR="00F34A94" w:rsidRPr="00184295" w:rsidTr="003F6B44">
        <w:trPr>
          <w:jc w:val="center"/>
        </w:trPr>
        <w:tc>
          <w:tcPr>
            <w:tcW w:w="640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6" w:type="dxa"/>
            <w:vAlign w:val="center"/>
          </w:tcPr>
          <w:p w:rsidR="00F34A94" w:rsidRPr="00184295" w:rsidRDefault="00F34A94" w:rsidP="003F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95">
              <w:rPr>
                <w:rFonts w:ascii="Times New Roman" w:hAnsi="Times New Roman"/>
                <w:sz w:val="28"/>
                <w:szCs w:val="28"/>
              </w:rPr>
              <w:t>Модернізація систем освітлення місць загального користування (у тому числі заміна електропроводки, ламп та патронів до них, встановлення автоматичних вимикачів)</w:t>
            </w:r>
          </w:p>
        </w:tc>
      </w:tr>
    </w:tbl>
    <w:p w:rsidR="00F34A94" w:rsidRPr="00184295" w:rsidRDefault="00F34A94" w:rsidP="00184295">
      <w:pPr>
        <w:jc w:val="both"/>
        <w:rPr>
          <w:rFonts w:ascii="Times New Roman" w:hAnsi="Times New Roman"/>
          <w:sz w:val="28"/>
          <w:szCs w:val="28"/>
        </w:rPr>
      </w:pPr>
    </w:p>
    <w:p w:rsidR="00F34A94" w:rsidRDefault="00F34A94" w:rsidP="00056D44">
      <w:pPr>
        <w:jc w:val="both"/>
        <w:rPr>
          <w:rFonts w:ascii="Times New Roman" w:hAnsi="Times New Roman"/>
          <w:sz w:val="28"/>
          <w:szCs w:val="28"/>
        </w:rPr>
        <w:sectPr w:rsidR="00F34A94" w:rsidSect="004736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624" w:bottom="1134" w:left="1701" w:header="397" w:footer="397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F34A94" w:rsidRPr="00D91834" w:rsidRDefault="00F34A94" w:rsidP="00056D44">
      <w:pPr>
        <w:ind w:left="9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91834">
        <w:rPr>
          <w:rFonts w:ascii="Times New Roman" w:hAnsi="Times New Roman"/>
          <w:sz w:val="24"/>
          <w:szCs w:val="24"/>
        </w:rPr>
        <w:t>Додаток 2</w:t>
      </w:r>
    </w:p>
    <w:p w:rsidR="00F34A94" w:rsidRPr="00D91834" w:rsidRDefault="00F34A94" w:rsidP="00FC370E">
      <w:pPr>
        <w:spacing w:after="0"/>
        <w:ind w:left="9639" w:firstLine="284"/>
        <w:jc w:val="center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до Генерального договору</w:t>
      </w:r>
    </w:p>
    <w:p w:rsidR="00F34A94" w:rsidRPr="00D91834" w:rsidRDefault="00F34A94" w:rsidP="00FC370E">
      <w:pPr>
        <w:spacing w:after="0"/>
        <w:ind w:left="9923"/>
        <w:jc w:val="center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про співробітництво №_____</w:t>
      </w:r>
    </w:p>
    <w:p w:rsidR="00F34A94" w:rsidRPr="00D91834" w:rsidRDefault="00F34A94" w:rsidP="00FC370E">
      <w:pPr>
        <w:spacing w:after="0"/>
        <w:ind w:left="9923"/>
        <w:jc w:val="center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від “____“__________201___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A94" w:rsidRPr="00D91834" w:rsidRDefault="00F34A94" w:rsidP="003C18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ПОГОДЖЕНО                                                                                                                                         ПОГОДЖЕНО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Кредитно-фінансова установа                                                                                                        Головний розпорядник коштів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 xml:space="preserve">__________________________ </w:t>
      </w:r>
      <w:r w:rsidRPr="00D9183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</w:t>
      </w:r>
      <w:r w:rsidRPr="00D91834">
        <w:rPr>
          <w:rFonts w:ascii="Times New Roman" w:hAnsi="Times New Roman"/>
          <w:sz w:val="24"/>
          <w:szCs w:val="24"/>
        </w:rPr>
        <w:tab/>
        <w:t xml:space="preserve">    __________________________</w:t>
      </w:r>
    </w:p>
    <w:p w:rsidR="00F34A94" w:rsidRPr="00D91834" w:rsidRDefault="00F34A94" w:rsidP="003C18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Реєстр № ________</w:t>
      </w:r>
    </w:p>
    <w:p w:rsidR="00F34A94" w:rsidRPr="00D91834" w:rsidRDefault="00F34A94" w:rsidP="003C18D9">
      <w:pPr>
        <w:spacing w:after="0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позичальників, які отримали кредит у ___________________________________________________________________________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за Програмою відшкодування кредитів, отриманих  ОСББ, ЖБК на впровадження заходів з енергозбереження, реконструкції і модернізації багатоквартирних будинків у м.Чернігові на 201</w:t>
      </w:r>
      <w:r>
        <w:rPr>
          <w:rFonts w:ascii="Times New Roman" w:hAnsi="Times New Roman"/>
          <w:sz w:val="24"/>
          <w:szCs w:val="24"/>
        </w:rPr>
        <w:t>6</w:t>
      </w:r>
      <w:r w:rsidRPr="00D91834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D91834">
        <w:rPr>
          <w:rFonts w:ascii="Times New Roman" w:hAnsi="Times New Roman"/>
          <w:sz w:val="24"/>
          <w:szCs w:val="24"/>
        </w:rPr>
        <w:t xml:space="preserve"> роки за 20__ рік</w:t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D91834">
        <w:rPr>
          <w:rFonts w:ascii="Times New Roman" w:hAnsi="Times New Roman"/>
          <w:sz w:val="24"/>
          <w:szCs w:val="24"/>
        </w:rPr>
        <w:t>(місяць)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Реквізити кредитно-фінансової установи: ______________________________________________________________________</w:t>
      </w:r>
    </w:p>
    <w:tbl>
      <w:tblPr>
        <w:tblpPr w:leftFromText="180" w:rightFromText="180" w:vertAnchor="text" w:horzAnchor="margin" w:tblpY="290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299"/>
        <w:gridCol w:w="1458"/>
        <w:gridCol w:w="1291"/>
        <w:gridCol w:w="1698"/>
        <w:gridCol w:w="1818"/>
        <w:gridCol w:w="1453"/>
        <w:gridCol w:w="1905"/>
        <w:gridCol w:w="2299"/>
      </w:tblGrid>
      <w:tr w:rsidR="00F34A94" w:rsidRPr="00236B37" w:rsidTr="003F6B44">
        <w:trPr>
          <w:cantSplit/>
          <w:trHeight w:val="370"/>
        </w:trPr>
        <w:tc>
          <w:tcPr>
            <w:tcW w:w="715" w:type="dxa"/>
            <w:vAlign w:val="center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299" w:type="dxa"/>
            <w:vAlign w:val="center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Назва позичальника</w:t>
            </w:r>
          </w:p>
        </w:tc>
        <w:tc>
          <w:tcPr>
            <w:tcW w:w="1458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ЄДРПОУ</w:t>
            </w:r>
          </w:p>
        </w:tc>
        <w:tc>
          <w:tcPr>
            <w:tcW w:w="1291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Ціль кредиту</w:t>
            </w:r>
          </w:p>
        </w:tc>
        <w:tc>
          <w:tcPr>
            <w:tcW w:w="1698" w:type="dxa"/>
            <w:vAlign w:val="center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№ і дата кредитного</w:t>
            </w:r>
          </w:p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договору</w:t>
            </w:r>
          </w:p>
        </w:tc>
        <w:tc>
          <w:tcPr>
            <w:tcW w:w="1816" w:type="dxa"/>
            <w:vAlign w:val="center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Строк кредитного договору</w:t>
            </w:r>
          </w:p>
        </w:tc>
        <w:tc>
          <w:tcPr>
            <w:tcW w:w="1453" w:type="dxa"/>
            <w:vAlign w:val="center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Сума кредиту, грн.</w:t>
            </w:r>
          </w:p>
        </w:tc>
        <w:tc>
          <w:tcPr>
            <w:tcW w:w="1905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Розмір компенсації,</w:t>
            </w:r>
          </w:p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  <w:tc>
          <w:tcPr>
            <w:tcW w:w="2299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Місце реєстрації позичальника</w:t>
            </w:r>
          </w:p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(район, місто)</w:t>
            </w:r>
          </w:p>
        </w:tc>
      </w:tr>
      <w:tr w:rsidR="00F34A94" w:rsidRPr="00236B37" w:rsidTr="003F6B44">
        <w:trPr>
          <w:cantSplit/>
          <w:trHeight w:val="227"/>
        </w:trPr>
        <w:tc>
          <w:tcPr>
            <w:tcW w:w="715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A94" w:rsidRPr="00236B37" w:rsidTr="003F6B44">
        <w:trPr>
          <w:cantSplit/>
          <w:trHeight w:val="56"/>
        </w:trPr>
        <w:tc>
          <w:tcPr>
            <w:tcW w:w="715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A94" w:rsidRPr="00236B37" w:rsidTr="003F6B44">
        <w:trPr>
          <w:cantSplit/>
          <w:trHeight w:val="353"/>
        </w:trPr>
        <w:tc>
          <w:tcPr>
            <w:tcW w:w="9279" w:type="dxa"/>
            <w:gridSpan w:val="6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453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A94" w:rsidRPr="00D91834" w:rsidRDefault="00F34A94" w:rsidP="003C18D9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Кредитно-фінансова установа:__________________________________________________________________________________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 xml:space="preserve">“____“ _____________________ 201__р.                                     ________________________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  <w:t xml:space="preserve">        (посада, прізвище та ініціали)</w:t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  <w:t xml:space="preserve">    (підпис)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 xml:space="preserve">М.П.     </w:t>
      </w:r>
    </w:p>
    <w:p w:rsidR="00F34A9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управління житлово-комунального </w:t>
      </w:r>
    </w:p>
    <w:p w:rsidR="00F34A9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господарства міської ради</w:t>
      </w:r>
    </w:p>
    <w:p w:rsidR="00F34A94" w:rsidRPr="00D91834" w:rsidRDefault="00F34A94" w:rsidP="00595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 xml:space="preserve">“____“ _____________________ 201__р.                                     ________________________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A94" w:rsidRDefault="00F34A94" w:rsidP="00595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  <w:t xml:space="preserve">        (посада, прізвище та ініціали)</w:t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  <w:t xml:space="preserve">    (підпис</w:t>
      </w:r>
      <w:r>
        <w:rPr>
          <w:rFonts w:ascii="Times New Roman" w:hAnsi="Times New Roman"/>
          <w:sz w:val="24"/>
          <w:szCs w:val="24"/>
        </w:rPr>
        <w:tab/>
      </w:r>
    </w:p>
    <w:p w:rsidR="00F34A94" w:rsidRDefault="00F34A94" w:rsidP="003C18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4A94" w:rsidRPr="00D91834" w:rsidRDefault="00F34A94" w:rsidP="00595802">
      <w:pPr>
        <w:spacing w:after="0"/>
        <w:ind w:left="82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3</w:t>
      </w:r>
    </w:p>
    <w:p w:rsidR="00F34A94" w:rsidRPr="00D91834" w:rsidRDefault="00F34A94" w:rsidP="003C18D9">
      <w:pPr>
        <w:spacing w:after="0"/>
        <w:ind w:left="9639" w:firstLine="284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до Генерального договору</w:t>
      </w:r>
    </w:p>
    <w:p w:rsidR="00F34A94" w:rsidRPr="00D91834" w:rsidRDefault="00F34A94" w:rsidP="003C18D9">
      <w:pPr>
        <w:spacing w:after="0"/>
        <w:ind w:left="9923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про співробітництво №_____</w:t>
      </w:r>
    </w:p>
    <w:p w:rsidR="00F34A94" w:rsidRPr="00D91834" w:rsidRDefault="00F34A94" w:rsidP="003C18D9">
      <w:pPr>
        <w:spacing w:after="0"/>
        <w:ind w:left="9923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від “____“__________201___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A94" w:rsidRPr="00D91834" w:rsidRDefault="00F34A94" w:rsidP="003C18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ПОГОДЖЕНО                                                                                                                                         ПОГОДЖЕНО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Кредитно-фінансова установа                                                                                                        Головний розпорядник коштів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 xml:space="preserve">__________________________ </w:t>
      </w:r>
      <w:r w:rsidRPr="00D9183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</w:t>
      </w:r>
      <w:r w:rsidRPr="00D91834">
        <w:rPr>
          <w:rFonts w:ascii="Times New Roman" w:hAnsi="Times New Roman"/>
          <w:sz w:val="24"/>
          <w:szCs w:val="24"/>
        </w:rPr>
        <w:tab/>
        <w:t xml:space="preserve">    __________________________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A94" w:rsidRPr="00D91834" w:rsidRDefault="00F34A94" w:rsidP="003C18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Зведений р</w:t>
      </w:r>
      <w:r w:rsidRPr="00D91834">
        <w:rPr>
          <w:rFonts w:ascii="Times New Roman" w:hAnsi="Times New Roman"/>
          <w:sz w:val="24"/>
          <w:szCs w:val="24"/>
        </w:rPr>
        <w:t>еєстр № ________</w:t>
      </w:r>
    </w:p>
    <w:p w:rsidR="00F34A94" w:rsidRPr="00D91834" w:rsidRDefault="00F34A94" w:rsidP="003C18D9">
      <w:pPr>
        <w:spacing w:after="0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позичальників, які отримали кредит у ___________________________________________________________________________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за Програмою відшкодування кредитів, отриманих  ОСББ, ЖБК на впровадження заходів з енергозбереження, реконструкції і модернізації багатоквартирних будинків у м.Чернігові на 201</w:t>
      </w:r>
      <w:r>
        <w:rPr>
          <w:rFonts w:ascii="Times New Roman" w:hAnsi="Times New Roman"/>
          <w:sz w:val="24"/>
          <w:szCs w:val="24"/>
        </w:rPr>
        <w:t>6</w:t>
      </w:r>
      <w:r w:rsidRPr="00D91834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D91834">
        <w:rPr>
          <w:rFonts w:ascii="Times New Roman" w:hAnsi="Times New Roman"/>
          <w:sz w:val="24"/>
          <w:szCs w:val="24"/>
        </w:rPr>
        <w:t xml:space="preserve"> роки за 20__ рік</w:t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color w:val="FF0000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D91834">
        <w:rPr>
          <w:rFonts w:ascii="Times New Roman" w:hAnsi="Times New Roman"/>
          <w:sz w:val="24"/>
          <w:szCs w:val="24"/>
        </w:rPr>
        <w:t>(місяць)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Реквізити кредитно-фінансової установи: ______________________________________________________________________</w:t>
      </w: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959"/>
        <w:gridCol w:w="1344"/>
        <w:gridCol w:w="1344"/>
        <w:gridCol w:w="2688"/>
        <w:gridCol w:w="2354"/>
        <w:gridCol w:w="1848"/>
        <w:gridCol w:w="2520"/>
      </w:tblGrid>
      <w:tr w:rsidR="00F34A94" w:rsidRPr="00236B37" w:rsidTr="003F6B44">
        <w:trPr>
          <w:cantSplit/>
          <w:trHeight w:val="447"/>
        </w:trPr>
        <w:tc>
          <w:tcPr>
            <w:tcW w:w="661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959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Назва позичальника</w:t>
            </w:r>
          </w:p>
        </w:tc>
        <w:tc>
          <w:tcPr>
            <w:tcW w:w="1344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ЄДРПОУ</w:t>
            </w:r>
          </w:p>
        </w:tc>
        <w:tc>
          <w:tcPr>
            <w:tcW w:w="1344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Ціль кредиту</w:t>
            </w:r>
          </w:p>
        </w:tc>
        <w:tc>
          <w:tcPr>
            <w:tcW w:w="2688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№ і дата кредитного</w:t>
            </w:r>
          </w:p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договору</w:t>
            </w:r>
          </w:p>
        </w:tc>
        <w:tc>
          <w:tcPr>
            <w:tcW w:w="2354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Строк кредитного договору</w:t>
            </w:r>
          </w:p>
        </w:tc>
        <w:tc>
          <w:tcPr>
            <w:tcW w:w="1848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Сума кредиту, грн.</w:t>
            </w:r>
          </w:p>
        </w:tc>
        <w:tc>
          <w:tcPr>
            <w:tcW w:w="2520" w:type="dxa"/>
          </w:tcPr>
          <w:p w:rsidR="00F34A94" w:rsidRPr="00236B37" w:rsidRDefault="00F34A94" w:rsidP="003F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Розмір компенсації, грн.</w:t>
            </w:r>
          </w:p>
        </w:tc>
      </w:tr>
      <w:tr w:rsidR="00F34A94" w:rsidRPr="00236B37" w:rsidTr="003F6B44">
        <w:trPr>
          <w:cantSplit/>
          <w:trHeight w:val="250"/>
        </w:trPr>
        <w:tc>
          <w:tcPr>
            <w:tcW w:w="661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A94" w:rsidRPr="00236B37" w:rsidTr="003F6B44">
        <w:trPr>
          <w:cantSplit/>
          <w:trHeight w:val="250"/>
        </w:trPr>
        <w:tc>
          <w:tcPr>
            <w:tcW w:w="661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A94" w:rsidRPr="00236B37" w:rsidTr="003F6B44">
        <w:trPr>
          <w:cantSplit/>
          <w:trHeight w:val="238"/>
        </w:trPr>
        <w:tc>
          <w:tcPr>
            <w:tcW w:w="10350" w:type="dxa"/>
            <w:gridSpan w:val="6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37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848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34A94" w:rsidRPr="00236B37" w:rsidRDefault="00F34A94" w:rsidP="003F6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>Кредитно-фінансова установа:__________________________________________________________________________________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 xml:space="preserve">“____“ _____________________ 201__р.                                     ________________________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  <w:t xml:space="preserve">        (посада, прізвище та ініціали)</w:t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  <w:t xml:space="preserve">    (підпис)</w:t>
      </w:r>
    </w:p>
    <w:p w:rsidR="00F34A94" w:rsidRPr="00D91834" w:rsidRDefault="00F34A94" w:rsidP="003C18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 xml:space="preserve">М.П.     </w:t>
      </w:r>
    </w:p>
    <w:p w:rsidR="00F34A94" w:rsidRDefault="00F34A94" w:rsidP="00455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A94" w:rsidRDefault="00F34A94" w:rsidP="004557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управління житлово-комунального </w:t>
      </w:r>
    </w:p>
    <w:p w:rsidR="00F34A94" w:rsidRDefault="00F34A94" w:rsidP="004557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господарства міської ради</w:t>
      </w:r>
    </w:p>
    <w:p w:rsidR="00F34A94" w:rsidRPr="00D91834" w:rsidRDefault="00F34A94" w:rsidP="004557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834">
        <w:rPr>
          <w:rFonts w:ascii="Times New Roman" w:hAnsi="Times New Roman"/>
          <w:sz w:val="24"/>
          <w:szCs w:val="24"/>
        </w:rPr>
        <w:t xml:space="preserve">“____“ _____________________ 201__р.                                     ________________________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A94" w:rsidRDefault="00F34A94" w:rsidP="004557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  <w:t xml:space="preserve">        (посада, прізвище та ініціали)</w:t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</w:r>
      <w:r w:rsidRPr="00D91834">
        <w:rPr>
          <w:rFonts w:ascii="Times New Roman" w:hAnsi="Times New Roman"/>
          <w:sz w:val="24"/>
          <w:szCs w:val="24"/>
        </w:rPr>
        <w:tab/>
        <w:t xml:space="preserve">    (підпис</w:t>
      </w:r>
      <w:r>
        <w:rPr>
          <w:rFonts w:ascii="Times New Roman" w:hAnsi="Times New Roman"/>
          <w:sz w:val="24"/>
          <w:szCs w:val="24"/>
        </w:rPr>
        <w:tab/>
      </w:r>
      <w:r w:rsidRPr="0018429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34A94" w:rsidRDefault="00F34A94" w:rsidP="008C692B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  <w:sectPr w:rsidR="00F34A94" w:rsidSect="004736BD">
          <w:pgSz w:w="16838" w:h="11906" w:orient="landscape"/>
          <w:pgMar w:top="851" w:right="1134" w:bottom="1701" w:left="1134" w:header="397" w:footer="397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F34A94" w:rsidRPr="00361566" w:rsidRDefault="00F34A94" w:rsidP="008C692B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Додаток 4</w:t>
      </w:r>
    </w:p>
    <w:p w:rsidR="00F34A94" w:rsidRPr="00361566" w:rsidRDefault="00F34A94" w:rsidP="008C692B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до Генерального договору</w:t>
      </w:r>
    </w:p>
    <w:p w:rsidR="00F34A94" w:rsidRPr="00361566" w:rsidRDefault="00F34A94" w:rsidP="008C692B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про співробітництво №_____</w:t>
      </w:r>
    </w:p>
    <w:p w:rsidR="00F34A94" w:rsidRPr="00361566" w:rsidRDefault="00F34A94" w:rsidP="008C692B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від “____“__________201___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A94" w:rsidRPr="0099347D" w:rsidRDefault="00F34A94" w:rsidP="00361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4A94" w:rsidRPr="0099347D" w:rsidRDefault="00F34A94" w:rsidP="00361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4A94" w:rsidRPr="00361566" w:rsidRDefault="00F34A94" w:rsidP="00361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ПЕРЕЛІК ДОКУМЕНТІВ,</w:t>
      </w:r>
    </w:p>
    <w:p w:rsidR="00F34A94" w:rsidRPr="00361566" w:rsidRDefault="00F34A94" w:rsidP="00361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які необхідні для відшкодування частини</w:t>
      </w:r>
      <w:r>
        <w:rPr>
          <w:rFonts w:ascii="Times New Roman" w:hAnsi="Times New Roman"/>
          <w:sz w:val="28"/>
          <w:szCs w:val="28"/>
        </w:rPr>
        <w:t xml:space="preserve"> суми тіла</w:t>
      </w:r>
      <w:r w:rsidRPr="00361566">
        <w:rPr>
          <w:rFonts w:ascii="Times New Roman" w:hAnsi="Times New Roman"/>
          <w:sz w:val="28"/>
          <w:szCs w:val="28"/>
        </w:rPr>
        <w:t xml:space="preserve"> кредиту</w:t>
      </w:r>
    </w:p>
    <w:p w:rsidR="00F34A94" w:rsidRPr="00361566" w:rsidRDefault="00F34A94" w:rsidP="00361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(зберігаються у кредитно-фінансовій установі)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1. Статут ОСББ</w:t>
      </w:r>
      <w:r>
        <w:rPr>
          <w:rFonts w:ascii="Times New Roman" w:hAnsi="Times New Roman"/>
          <w:sz w:val="28"/>
          <w:szCs w:val="28"/>
        </w:rPr>
        <w:t xml:space="preserve"> або ЖБК</w:t>
      </w:r>
      <w:r w:rsidRPr="00361566">
        <w:rPr>
          <w:rFonts w:ascii="Times New Roman" w:hAnsi="Times New Roman"/>
          <w:sz w:val="28"/>
          <w:szCs w:val="28"/>
        </w:rPr>
        <w:t>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2. Свідоцтво про державну реєстрацію, а у разі, якщо воно не видавалося, - виписка з Єдиного державного реєстру юридичних осіб та фізичних осіб-підприємців.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3. Довідка з ЄДРПОУ, видана органами статистики (у разі державної реєстрації юридичної особи до 17.12.2012).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4. Наказ (витяг з протоколу) про призначення керівників на посади.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5. Копії паспортів керівника, головного бухгалтера, інших уповноважених осіб, які мають право підпису відповідних договорів та/або документів, що подаються до банку, засновників; копії довідок про присвоєння ідентифікаційних номерів вищезазначеним особам.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6. Копія рішення відповідних органів управління позичальника (зборів членів ОСББ</w:t>
      </w:r>
      <w:r>
        <w:rPr>
          <w:rFonts w:ascii="Times New Roman" w:hAnsi="Times New Roman"/>
          <w:sz w:val="28"/>
          <w:szCs w:val="28"/>
        </w:rPr>
        <w:t xml:space="preserve"> або ЖБК</w:t>
      </w:r>
      <w:r w:rsidRPr="00361566">
        <w:rPr>
          <w:rFonts w:ascii="Times New Roman" w:hAnsi="Times New Roman"/>
          <w:sz w:val="28"/>
          <w:szCs w:val="28"/>
        </w:rPr>
        <w:t>, спостережної ради, правління тощо) про отримання кредиту та проведення енергозберігаючих робіт, ремонту, модернізації будинку.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7. Кредитний договір.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8. Документи, які підтверджують цільов</w:t>
      </w:r>
      <w:r>
        <w:rPr>
          <w:rFonts w:ascii="Times New Roman" w:hAnsi="Times New Roman"/>
          <w:sz w:val="28"/>
          <w:szCs w:val="28"/>
        </w:rPr>
        <w:t>е</w:t>
      </w:r>
      <w:r w:rsidRPr="00361566">
        <w:rPr>
          <w:rFonts w:ascii="Times New Roman" w:hAnsi="Times New Roman"/>
          <w:sz w:val="28"/>
          <w:szCs w:val="28"/>
        </w:rPr>
        <w:t xml:space="preserve"> використання кредитних коштів: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8.1. Рахунки – фактури.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8.2. Договір купівлі-продажу або документ, що підтверджує сплату коштів за придбаний товар або виконані роботи (копія).</w:t>
      </w:r>
    </w:p>
    <w:p w:rsidR="00F34A94" w:rsidRPr="00361566" w:rsidRDefault="00F34A94" w:rsidP="00361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8.3. Акт перевірки цільового використання коштів за кредитом або документ, що підтверджує факт впровадження енергозберігаючих заходів.</w:t>
      </w:r>
    </w:p>
    <w:p w:rsidR="00F34A94" w:rsidRDefault="00F34A94" w:rsidP="00455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66">
        <w:rPr>
          <w:rFonts w:ascii="Times New Roman" w:hAnsi="Times New Roman"/>
          <w:sz w:val="28"/>
          <w:szCs w:val="28"/>
        </w:rPr>
        <w:t>8.4. Акт прийому-передачі товару/Акт про надання послуг або накладна на товар.</w:t>
      </w:r>
    </w:p>
    <w:p w:rsidR="00F34A94" w:rsidRPr="00184295" w:rsidRDefault="00F34A94" w:rsidP="00455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br w:type="page"/>
      </w:r>
    </w:p>
    <w:sectPr w:rsidR="00F34A94" w:rsidRPr="00184295" w:rsidSect="004736BD">
      <w:pgSz w:w="11906" w:h="16838"/>
      <w:pgMar w:top="1134" w:right="85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94" w:rsidRDefault="00F34A94" w:rsidP="003B7A36">
      <w:pPr>
        <w:spacing w:after="0" w:line="240" w:lineRule="auto"/>
      </w:pPr>
      <w:r>
        <w:separator/>
      </w:r>
    </w:p>
  </w:endnote>
  <w:endnote w:type="continuationSeparator" w:id="0">
    <w:p w:rsidR="00F34A94" w:rsidRDefault="00F34A94" w:rsidP="003B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94" w:rsidRDefault="00F34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94" w:rsidRDefault="00F34A94">
    <w:pPr>
      <w:pStyle w:val="Footer"/>
      <w:jc w:val="center"/>
    </w:pPr>
  </w:p>
  <w:p w:rsidR="00F34A94" w:rsidRDefault="00F34A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94" w:rsidRDefault="00F34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94" w:rsidRDefault="00F34A94" w:rsidP="003B7A36">
      <w:pPr>
        <w:spacing w:after="0" w:line="240" w:lineRule="auto"/>
      </w:pPr>
      <w:r>
        <w:separator/>
      </w:r>
    </w:p>
  </w:footnote>
  <w:footnote w:type="continuationSeparator" w:id="0">
    <w:p w:rsidR="00F34A94" w:rsidRDefault="00F34A94" w:rsidP="003B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94" w:rsidRDefault="00F34A94" w:rsidP="009218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A94" w:rsidRDefault="00F34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94" w:rsidRPr="004C4663" w:rsidRDefault="00F34A94" w:rsidP="0092182E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4C4663">
      <w:rPr>
        <w:rStyle w:val="PageNumber"/>
        <w:rFonts w:ascii="Times New Roman" w:hAnsi="Times New Roman"/>
      </w:rPr>
      <w:fldChar w:fldCharType="begin"/>
    </w:r>
    <w:r w:rsidRPr="004C4663">
      <w:rPr>
        <w:rStyle w:val="PageNumber"/>
        <w:rFonts w:ascii="Times New Roman" w:hAnsi="Times New Roman"/>
      </w:rPr>
      <w:instrText xml:space="preserve">PAGE  </w:instrText>
    </w:r>
    <w:r w:rsidRPr="004C4663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6</w:t>
    </w:r>
    <w:r w:rsidRPr="004C4663">
      <w:rPr>
        <w:rStyle w:val="PageNumber"/>
        <w:rFonts w:ascii="Times New Roman" w:hAnsi="Times New Roman"/>
      </w:rPr>
      <w:fldChar w:fldCharType="end"/>
    </w:r>
  </w:p>
  <w:p w:rsidR="00F34A94" w:rsidRDefault="00F34A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94" w:rsidRDefault="00F34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73C4E"/>
    <w:multiLevelType w:val="hybridMultilevel"/>
    <w:tmpl w:val="C206274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AD362B"/>
    <w:multiLevelType w:val="hybridMultilevel"/>
    <w:tmpl w:val="DD13540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D0C3F65"/>
    <w:multiLevelType w:val="multilevel"/>
    <w:tmpl w:val="A20649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925521F"/>
    <w:multiLevelType w:val="hybridMultilevel"/>
    <w:tmpl w:val="5F941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202F3"/>
    <w:multiLevelType w:val="multilevel"/>
    <w:tmpl w:val="5F9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96F6D"/>
    <w:multiLevelType w:val="hybridMultilevel"/>
    <w:tmpl w:val="4B6A913E"/>
    <w:lvl w:ilvl="0" w:tplc="80B8B722">
      <w:start w:val="10"/>
      <w:numFmt w:val="bullet"/>
      <w:lvlText w:val="-"/>
      <w:lvlJc w:val="left"/>
      <w:pPr>
        <w:ind w:left="1143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>
    <w:nsid w:val="3E230A1D"/>
    <w:multiLevelType w:val="hybridMultilevel"/>
    <w:tmpl w:val="1D443AE4"/>
    <w:lvl w:ilvl="0" w:tplc="D86ADF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561B7EB1"/>
    <w:multiLevelType w:val="hybridMultilevel"/>
    <w:tmpl w:val="32321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8A04A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54765"/>
    <w:multiLevelType w:val="hybridMultilevel"/>
    <w:tmpl w:val="F508131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60A27C9A"/>
    <w:multiLevelType w:val="hybridMultilevel"/>
    <w:tmpl w:val="0B2CF81C"/>
    <w:lvl w:ilvl="0" w:tplc="8F8A3AC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0">
    <w:nsid w:val="69F76F51"/>
    <w:multiLevelType w:val="hybridMultilevel"/>
    <w:tmpl w:val="7A4EA050"/>
    <w:lvl w:ilvl="0" w:tplc="90D83B1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9144B"/>
    <w:multiLevelType w:val="hybridMultilevel"/>
    <w:tmpl w:val="7CCC03BE"/>
    <w:lvl w:ilvl="0" w:tplc="17D6E138">
      <w:start w:val="1"/>
      <w:numFmt w:val="bullet"/>
      <w:lvlText w:val="-"/>
      <w:lvlJc w:val="left"/>
      <w:pPr>
        <w:tabs>
          <w:tab w:val="num" w:pos="709"/>
        </w:tabs>
        <w:ind w:left="2868" w:hanging="215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DD3F21"/>
    <w:multiLevelType w:val="hybridMultilevel"/>
    <w:tmpl w:val="0C1616FE"/>
    <w:lvl w:ilvl="0" w:tplc="BE8EC326">
      <w:start w:val="2"/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3D15AA4"/>
    <w:multiLevelType w:val="multilevel"/>
    <w:tmpl w:val="3580EE3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mirrorMargi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483"/>
    <w:rsid w:val="00014DA1"/>
    <w:rsid w:val="000253DF"/>
    <w:rsid w:val="000279C9"/>
    <w:rsid w:val="00030142"/>
    <w:rsid w:val="000301DC"/>
    <w:rsid w:val="000306E5"/>
    <w:rsid w:val="00030AFB"/>
    <w:rsid w:val="00036DF0"/>
    <w:rsid w:val="00056D44"/>
    <w:rsid w:val="000730BB"/>
    <w:rsid w:val="00084578"/>
    <w:rsid w:val="00091828"/>
    <w:rsid w:val="000926D6"/>
    <w:rsid w:val="000A0A1D"/>
    <w:rsid w:val="000B42BC"/>
    <w:rsid w:val="000B5751"/>
    <w:rsid w:val="000E22FC"/>
    <w:rsid w:val="000F5BBE"/>
    <w:rsid w:val="00117325"/>
    <w:rsid w:val="001201AE"/>
    <w:rsid w:val="001209C6"/>
    <w:rsid w:val="00121588"/>
    <w:rsid w:val="001228F3"/>
    <w:rsid w:val="001255E7"/>
    <w:rsid w:val="001307FA"/>
    <w:rsid w:val="00135BAE"/>
    <w:rsid w:val="00142454"/>
    <w:rsid w:val="00150272"/>
    <w:rsid w:val="00151255"/>
    <w:rsid w:val="001541F5"/>
    <w:rsid w:val="00162D13"/>
    <w:rsid w:val="001638F7"/>
    <w:rsid w:val="00171B81"/>
    <w:rsid w:val="001759FB"/>
    <w:rsid w:val="00175E7D"/>
    <w:rsid w:val="0017658B"/>
    <w:rsid w:val="00181A2E"/>
    <w:rsid w:val="00182172"/>
    <w:rsid w:val="00184295"/>
    <w:rsid w:val="0018616A"/>
    <w:rsid w:val="00186D6F"/>
    <w:rsid w:val="00192166"/>
    <w:rsid w:val="001A1E1E"/>
    <w:rsid w:val="001A5C35"/>
    <w:rsid w:val="001B7794"/>
    <w:rsid w:val="001C582B"/>
    <w:rsid w:val="001D2D6F"/>
    <w:rsid w:val="001F3B29"/>
    <w:rsid w:val="001F3CF6"/>
    <w:rsid w:val="001F4296"/>
    <w:rsid w:val="001F5030"/>
    <w:rsid w:val="00201B27"/>
    <w:rsid w:val="002120E4"/>
    <w:rsid w:val="00222FCD"/>
    <w:rsid w:val="0022740D"/>
    <w:rsid w:val="0022772C"/>
    <w:rsid w:val="00236B37"/>
    <w:rsid w:val="0023747F"/>
    <w:rsid w:val="002416EF"/>
    <w:rsid w:val="0024786C"/>
    <w:rsid w:val="0025250E"/>
    <w:rsid w:val="00255E7A"/>
    <w:rsid w:val="00257FF9"/>
    <w:rsid w:val="00264321"/>
    <w:rsid w:val="00266F93"/>
    <w:rsid w:val="00274E71"/>
    <w:rsid w:val="002827E4"/>
    <w:rsid w:val="00283F7D"/>
    <w:rsid w:val="00286B5E"/>
    <w:rsid w:val="002A0526"/>
    <w:rsid w:val="002A2F85"/>
    <w:rsid w:val="002B0D86"/>
    <w:rsid w:val="002C529D"/>
    <w:rsid w:val="002C56A1"/>
    <w:rsid w:val="002D3044"/>
    <w:rsid w:val="002F65B2"/>
    <w:rsid w:val="00300EBD"/>
    <w:rsid w:val="00313FDC"/>
    <w:rsid w:val="00314606"/>
    <w:rsid w:val="00321014"/>
    <w:rsid w:val="003313E7"/>
    <w:rsid w:val="00344457"/>
    <w:rsid w:val="00344AF4"/>
    <w:rsid w:val="00346699"/>
    <w:rsid w:val="003502C9"/>
    <w:rsid w:val="003540F7"/>
    <w:rsid w:val="00354570"/>
    <w:rsid w:val="003546CC"/>
    <w:rsid w:val="00361566"/>
    <w:rsid w:val="00365C47"/>
    <w:rsid w:val="0036793C"/>
    <w:rsid w:val="00377EA0"/>
    <w:rsid w:val="003817EC"/>
    <w:rsid w:val="0038254F"/>
    <w:rsid w:val="00385079"/>
    <w:rsid w:val="003878AA"/>
    <w:rsid w:val="003878D1"/>
    <w:rsid w:val="00392254"/>
    <w:rsid w:val="00394905"/>
    <w:rsid w:val="003A77C7"/>
    <w:rsid w:val="003B3603"/>
    <w:rsid w:val="003B7A36"/>
    <w:rsid w:val="003C01E3"/>
    <w:rsid w:val="003C18D9"/>
    <w:rsid w:val="003C1C1F"/>
    <w:rsid w:val="003C3ECE"/>
    <w:rsid w:val="003D3682"/>
    <w:rsid w:val="003D51CC"/>
    <w:rsid w:val="003D5676"/>
    <w:rsid w:val="003D62F4"/>
    <w:rsid w:val="003E7A72"/>
    <w:rsid w:val="003E7D11"/>
    <w:rsid w:val="003F663F"/>
    <w:rsid w:val="003F6B44"/>
    <w:rsid w:val="004123B1"/>
    <w:rsid w:val="0042155E"/>
    <w:rsid w:val="00422908"/>
    <w:rsid w:val="00424E1E"/>
    <w:rsid w:val="00425706"/>
    <w:rsid w:val="00427926"/>
    <w:rsid w:val="0044285A"/>
    <w:rsid w:val="0044631E"/>
    <w:rsid w:val="00450A9A"/>
    <w:rsid w:val="004516CA"/>
    <w:rsid w:val="00452B79"/>
    <w:rsid w:val="00453B4D"/>
    <w:rsid w:val="00455777"/>
    <w:rsid w:val="004635CC"/>
    <w:rsid w:val="00466327"/>
    <w:rsid w:val="004736BD"/>
    <w:rsid w:val="0047540F"/>
    <w:rsid w:val="004846D4"/>
    <w:rsid w:val="004855B5"/>
    <w:rsid w:val="00497340"/>
    <w:rsid w:val="004A691F"/>
    <w:rsid w:val="004C16B1"/>
    <w:rsid w:val="004C4663"/>
    <w:rsid w:val="004D044D"/>
    <w:rsid w:val="004D2785"/>
    <w:rsid w:val="004D4A95"/>
    <w:rsid w:val="004D5849"/>
    <w:rsid w:val="00501F0D"/>
    <w:rsid w:val="0050493A"/>
    <w:rsid w:val="00506C63"/>
    <w:rsid w:val="005146E1"/>
    <w:rsid w:val="00514AC8"/>
    <w:rsid w:val="00515679"/>
    <w:rsid w:val="00530AAA"/>
    <w:rsid w:val="00530AF3"/>
    <w:rsid w:val="005338EA"/>
    <w:rsid w:val="00535C3E"/>
    <w:rsid w:val="00537A3B"/>
    <w:rsid w:val="00564BAD"/>
    <w:rsid w:val="00573064"/>
    <w:rsid w:val="00576FF3"/>
    <w:rsid w:val="00580D93"/>
    <w:rsid w:val="005829DF"/>
    <w:rsid w:val="00583F09"/>
    <w:rsid w:val="005861FE"/>
    <w:rsid w:val="0059479C"/>
    <w:rsid w:val="00595802"/>
    <w:rsid w:val="005961F0"/>
    <w:rsid w:val="00596ACE"/>
    <w:rsid w:val="005A1BD0"/>
    <w:rsid w:val="005B7E68"/>
    <w:rsid w:val="005C0670"/>
    <w:rsid w:val="005C5E05"/>
    <w:rsid w:val="005D04D7"/>
    <w:rsid w:val="005F1016"/>
    <w:rsid w:val="00603C94"/>
    <w:rsid w:val="00604880"/>
    <w:rsid w:val="006053C3"/>
    <w:rsid w:val="0060609B"/>
    <w:rsid w:val="006073DA"/>
    <w:rsid w:val="0061609D"/>
    <w:rsid w:val="0062567C"/>
    <w:rsid w:val="006332FE"/>
    <w:rsid w:val="00636D8A"/>
    <w:rsid w:val="00637EEC"/>
    <w:rsid w:val="006401A8"/>
    <w:rsid w:val="0064044D"/>
    <w:rsid w:val="00641E16"/>
    <w:rsid w:val="006453B9"/>
    <w:rsid w:val="00652E2A"/>
    <w:rsid w:val="006636A2"/>
    <w:rsid w:val="00680D29"/>
    <w:rsid w:val="006829FC"/>
    <w:rsid w:val="00683483"/>
    <w:rsid w:val="00686CE9"/>
    <w:rsid w:val="006873D7"/>
    <w:rsid w:val="00696112"/>
    <w:rsid w:val="006A11DC"/>
    <w:rsid w:val="006A32E4"/>
    <w:rsid w:val="006A551C"/>
    <w:rsid w:val="006B060B"/>
    <w:rsid w:val="006C1015"/>
    <w:rsid w:val="006C15AC"/>
    <w:rsid w:val="006C2973"/>
    <w:rsid w:val="006C3514"/>
    <w:rsid w:val="006C3765"/>
    <w:rsid w:val="006C6192"/>
    <w:rsid w:val="006C7018"/>
    <w:rsid w:val="006D5F58"/>
    <w:rsid w:val="006D60B3"/>
    <w:rsid w:val="006E340E"/>
    <w:rsid w:val="006E47B4"/>
    <w:rsid w:val="006E685C"/>
    <w:rsid w:val="006F05F4"/>
    <w:rsid w:val="006F0D7B"/>
    <w:rsid w:val="007027AD"/>
    <w:rsid w:val="007038B4"/>
    <w:rsid w:val="00704EF9"/>
    <w:rsid w:val="0071129E"/>
    <w:rsid w:val="007158F6"/>
    <w:rsid w:val="00716213"/>
    <w:rsid w:val="007208CB"/>
    <w:rsid w:val="00732244"/>
    <w:rsid w:val="00732DB9"/>
    <w:rsid w:val="00735571"/>
    <w:rsid w:val="00743E28"/>
    <w:rsid w:val="00751E7D"/>
    <w:rsid w:val="007536FF"/>
    <w:rsid w:val="0075633E"/>
    <w:rsid w:val="0076182D"/>
    <w:rsid w:val="00771915"/>
    <w:rsid w:val="00781E20"/>
    <w:rsid w:val="007858E8"/>
    <w:rsid w:val="007879E6"/>
    <w:rsid w:val="00787D44"/>
    <w:rsid w:val="007916E3"/>
    <w:rsid w:val="0079328B"/>
    <w:rsid w:val="007A3638"/>
    <w:rsid w:val="007A599E"/>
    <w:rsid w:val="007B0B52"/>
    <w:rsid w:val="007C1A75"/>
    <w:rsid w:val="007D0279"/>
    <w:rsid w:val="007E3105"/>
    <w:rsid w:val="007E552C"/>
    <w:rsid w:val="007F012A"/>
    <w:rsid w:val="007F34E7"/>
    <w:rsid w:val="007F3F3B"/>
    <w:rsid w:val="007F4706"/>
    <w:rsid w:val="008070B0"/>
    <w:rsid w:val="00814C86"/>
    <w:rsid w:val="00816D32"/>
    <w:rsid w:val="008171DE"/>
    <w:rsid w:val="008255C3"/>
    <w:rsid w:val="00825C58"/>
    <w:rsid w:val="008263F6"/>
    <w:rsid w:val="008438FE"/>
    <w:rsid w:val="00850E44"/>
    <w:rsid w:val="00851936"/>
    <w:rsid w:val="00860B91"/>
    <w:rsid w:val="00864545"/>
    <w:rsid w:val="00864924"/>
    <w:rsid w:val="00865B2C"/>
    <w:rsid w:val="00872EFB"/>
    <w:rsid w:val="00875479"/>
    <w:rsid w:val="00885010"/>
    <w:rsid w:val="00886759"/>
    <w:rsid w:val="008B0E3A"/>
    <w:rsid w:val="008B4491"/>
    <w:rsid w:val="008B5D42"/>
    <w:rsid w:val="008B7AF5"/>
    <w:rsid w:val="008C56AD"/>
    <w:rsid w:val="008C692B"/>
    <w:rsid w:val="008D28B4"/>
    <w:rsid w:val="008D4775"/>
    <w:rsid w:val="008F72F0"/>
    <w:rsid w:val="00904CF8"/>
    <w:rsid w:val="00914F70"/>
    <w:rsid w:val="0091590D"/>
    <w:rsid w:val="009204DB"/>
    <w:rsid w:val="0092182E"/>
    <w:rsid w:val="00930371"/>
    <w:rsid w:val="00934C62"/>
    <w:rsid w:val="00935CB0"/>
    <w:rsid w:val="0095409E"/>
    <w:rsid w:val="00966E1A"/>
    <w:rsid w:val="009713FF"/>
    <w:rsid w:val="00972BB8"/>
    <w:rsid w:val="00986434"/>
    <w:rsid w:val="00987201"/>
    <w:rsid w:val="0099306C"/>
    <w:rsid w:val="0099347D"/>
    <w:rsid w:val="009A2C94"/>
    <w:rsid w:val="009A6D5F"/>
    <w:rsid w:val="009C5E3A"/>
    <w:rsid w:val="009D17C5"/>
    <w:rsid w:val="009D6EC8"/>
    <w:rsid w:val="009E1D1C"/>
    <w:rsid w:val="009E550F"/>
    <w:rsid w:val="009E783E"/>
    <w:rsid w:val="009F25C0"/>
    <w:rsid w:val="009F58C3"/>
    <w:rsid w:val="00A01061"/>
    <w:rsid w:val="00A0502A"/>
    <w:rsid w:val="00A2079C"/>
    <w:rsid w:val="00A2088B"/>
    <w:rsid w:val="00A2444E"/>
    <w:rsid w:val="00A36142"/>
    <w:rsid w:val="00A37074"/>
    <w:rsid w:val="00A4253C"/>
    <w:rsid w:val="00A45DED"/>
    <w:rsid w:val="00A468FE"/>
    <w:rsid w:val="00A47125"/>
    <w:rsid w:val="00A474F6"/>
    <w:rsid w:val="00A47A79"/>
    <w:rsid w:val="00A551C0"/>
    <w:rsid w:val="00A60091"/>
    <w:rsid w:val="00A611FE"/>
    <w:rsid w:val="00A6583F"/>
    <w:rsid w:val="00A749D4"/>
    <w:rsid w:val="00A76310"/>
    <w:rsid w:val="00A800C5"/>
    <w:rsid w:val="00A81D41"/>
    <w:rsid w:val="00A8327B"/>
    <w:rsid w:val="00A96F03"/>
    <w:rsid w:val="00AB4244"/>
    <w:rsid w:val="00AB5776"/>
    <w:rsid w:val="00AB71C4"/>
    <w:rsid w:val="00AD5559"/>
    <w:rsid w:val="00AE225D"/>
    <w:rsid w:val="00AE3EDE"/>
    <w:rsid w:val="00AF002F"/>
    <w:rsid w:val="00B00B0D"/>
    <w:rsid w:val="00B070C6"/>
    <w:rsid w:val="00B11707"/>
    <w:rsid w:val="00B15B03"/>
    <w:rsid w:val="00B1693A"/>
    <w:rsid w:val="00B1755E"/>
    <w:rsid w:val="00B2185C"/>
    <w:rsid w:val="00B22399"/>
    <w:rsid w:val="00B32471"/>
    <w:rsid w:val="00B345C3"/>
    <w:rsid w:val="00B34FEB"/>
    <w:rsid w:val="00B36FA9"/>
    <w:rsid w:val="00B563AE"/>
    <w:rsid w:val="00B678CD"/>
    <w:rsid w:val="00B722B5"/>
    <w:rsid w:val="00B85283"/>
    <w:rsid w:val="00B85DBA"/>
    <w:rsid w:val="00B97E6C"/>
    <w:rsid w:val="00BA0A4E"/>
    <w:rsid w:val="00BA1991"/>
    <w:rsid w:val="00BB621B"/>
    <w:rsid w:val="00BC00EE"/>
    <w:rsid w:val="00BC749A"/>
    <w:rsid w:val="00BD6E4F"/>
    <w:rsid w:val="00BD7E3A"/>
    <w:rsid w:val="00BE10D3"/>
    <w:rsid w:val="00BF048E"/>
    <w:rsid w:val="00BF3E9B"/>
    <w:rsid w:val="00C069B7"/>
    <w:rsid w:val="00C076A2"/>
    <w:rsid w:val="00C140FA"/>
    <w:rsid w:val="00C17E4C"/>
    <w:rsid w:val="00C463B9"/>
    <w:rsid w:val="00C47D43"/>
    <w:rsid w:val="00C53532"/>
    <w:rsid w:val="00C55969"/>
    <w:rsid w:val="00C60607"/>
    <w:rsid w:val="00C60713"/>
    <w:rsid w:val="00C6191A"/>
    <w:rsid w:val="00C62643"/>
    <w:rsid w:val="00C7101D"/>
    <w:rsid w:val="00C74F01"/>
    <w:rsid w:val="00C7623E"/>
    <w:rsid w:val="00C8132A"/>
    <w:rsid w:val="00C90DD4"/>
    <w:rsid w:val="00C96172"/>
    <w:rsid w:val="00CA24E9"/>
    <w:rsid w:val="00CA360C"/>
    <w:rsid w:val="00CB087D"/>
    <w:rsid w:val="00CB1CF9"/>
    <w:rsid w:val="00CB3952"/>
    <w:rsid w:val="00CB45E2"/>
    <w:rsid w:val="00CC2E1C"/>
    <w:rsid w:val="00CC7EDD"/>
    <w:rsid w:val="00CD2472"/>
    <w:rsid w:val="00CE17B4"/>
    <w:rsid w:val="00CF0CF5"/>
    <w:rsid w:val="00CF2A36"/>
    <w:rsid w:val="00CF3F89"/>
    <w:rsid w:val="00CF7339"/>
    <w:rsid w:val="00D0104C"/>
    <w:rsid w:val="00D018FA"/>
    <w:rsid w:val="00D04CD1"/>
    <w:rsid w:val="00D06F22"/>
    <w:rsid w:val="00D11097"/>
    <w:rsid w:val="00D20995"/>
    <w:rsid w:val="00D215F7"/>
    <w:rsid w:val="00D22A23"/>
    <w:rsid w:val="00D26C3E"/>
    <w:rsid w:val="00D3471E"/>
    <w:rsid w:val="00D43E55"/>
    <w:rsid w:val="00D4401D"/>
    <w:rsid w:val="00D57963"/>
    <w:rsid w:val="00D57CF3"/>
    <w:rsid w:val="00D77312"/>
    <w:rsid w:val="00D91834"/>
    <w:rsid w:val="00D9556D"/>
    <w:rsid w:val="00DA0F25"/>
    <w:rsid w:val="00DA1FA2"/>
    <w:rsid w:val="00DA568C"/>
    <w:rsid w:val="00DA5DDD"/>
    <w:rsid w:val="00DA6EEB"/>
    <w:rsid w:val="00DB246C"/>
    <w:rsid w:val="00DB4DDC"/>
    <w:rsid w:val="00DC0FE9"/>
    <w:rsid w:val="00DD05AD"/>
    <w:rsid w:val="00DE59BF"/>
    <w:rsid w:val="00DF38C9"/>
    <w:rsid w:val="00DF7AC2"/>
    <w:rsid w:val="00DF7BAE"/>
    <w:rsid w:val="00E01DCE"/>
    <w:rsid w:val="00E03BE7"/>
    <w:rsid w:val="00E0519F"/>
    <w:rsid w:val="00E071DF"/>
    <w:rsid w:val="00E1036B"/>
    <w:rsid w:val="00E10DE5"/>
    <w:rsid w:val="00E139CD"/>
    <w:rsid w:val="00E17B46"/>
    <w:rsid w:val="00E2358F"/>
    <w:rsid w:val="00E31065"/>
    <w:rsid w:val="00E3375C"/>
    <w:rsid w:val="00E33AF2"/>
    <w:rsid w:val="00E359F4"/>
    <w:rsid w:val="00E451EC"/>
    <w:rsid w:val="00E462C0"/>
    <w:rsid w:val="00E521EA"/>
    <w:rsid w:val="00E537A7"/>
    <w:rsid w:val="00E56E2C"/>
    <w:rsid w:val="00E60A73"/>
    <w:rsid w:val="00E62981"/>
    <w:rsid w:val="00E714AC"/>
    <w:rsid w:val="00E73724"/>
    <w:rsid w:val="00E82139"/>
    <w:rsid w:val="00E860F3"/>
    <w:rsid w:val="00EA1AF7"/>
    <w:rsid w:val="00EB4BDD"/>
    <w:rsid w:val="00ED5AF3"/>
    <w:rsid w:val="00ED7AFF"/>
    <w:rsid w:val="00EE46A9"/>
    <w:rsid w:val="00EE4D7F"/>
    <w:rsid w:val="00EF2CCB"/>
    <w:rsid w:val="00EF37FA"/>
    <w:rsid w:val="00F0631E"/>
    <w:rsid w:val="00F10251"/>
    <w:rsid w:val="00F11981"/>
    <w:rsid w:val="00F24691"/>
    <w:rsid w:val="00F26F41"/>
    <w:rsid w:val="00F34A94"/>
    <w:rsid w:val="00F46399"/>
    <w:rsid w:val="00F53FC6"/>
    <w:rsid w:val="00F60094"/>
    <w:rsid w:val="00F63A81"/>
    <w:rsid w:val="00F66AF5"/>
    <w:rsid w:val="00F75598"/>
    <w:rsid w:val="00F75F3A"/>
    <w:rsid w:val="00F76BE2"/>
    <w:rsid w:val="00F77C5F"/>
    <w:rsid w:val="00F905DB"/>
    <w:rsid w:val="00F9210A"/>
    <w:rsid w:val="00F9673F"/>
    <w:rsid w:val="00FA2827"/>
    <w:rsid w:val="00FA2D0A"/>
    <w:rsid w:val="00FB6F8D"/>
    <w:rsid w:val="00FC068E"/>
    <w:rsid w:val="00FC370E"/>
    <w:rsid w:val="00FC51A2"/>
    <w:rsid w:val="00FC7852"/>
    <w:rsid w:val="00FD2EA3"/>
    <w:rsid w:val="00FD3406"/>
    <w:rsid w:val="00FE1DA3"/>
    <w:rsid w:val="00FE3E2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A3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A36"/>
    <w:rPr>
      <w:rFonts w:ascii="Calibri Light" w:hAnsi="Calibri Light"/>
      <w:color w:val="2E74B5"/>
      <w:sz w:val="32"/>
    </w:rPr>
  </w:style>
  <w:style w:type="paragraph" w:styleId="Header">
    <w:name w:val="header"/>
    <w:basedOn w:val="Normal"/>
    <w:link w:val="HeaderChar"/>
    <w:uiPriority w:val="99"/>
    <w:rsid w:val="003B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A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A36"/>
    <w:rPr>
      <w:rFonts w:cs="Times New Roman"/>
    </w:rPr>
  </w:style>
  <w:style w:type="paragraph" w:customStyle="1" w:styleId="Default">
    <w:name w:val="Default"/>
    <w:uiPriority w:val="99"/>
    <w:rsid w:val="00CC2E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0609B"/>
    <w:pPr>
      <w:ind w:left="720"/>
      <w:contextualSpacing/>
    </w:pPr>
  </w:style>
  <w:style w:type="paragraph" w:customStyle="1" w:styleId="a">
    <w:name w:val="Обычный абзац"/>
    <w:basedOn w:val="Normal"/>
    <w:uiPriority w:val="99"/>
    <w:rsid w:val="00FA2D0A"/>
    <w:pPr>
      <w:spacing w:before="120" w:after="120" w:line="240" w:lineRule="auto"/>
      <w:ind w:firstLine="709"/>
      <w:jc w:val="both"/>
    </w:pPr>
    <w:rPr>
      <w:rFonts w:ascii="Times New Roman" w:hAnsi="Times New Roman"/>
      <w:iCs/>
      <w:sz w:val="24"/>
      <w:szCs w:val="28"/>
      <w:lang w:eastAsia="ru-RU"/>
    </w:rPr>
  </w:style>
  <w:style w:type="paragraph" w:styleId="Title">
    <w:name w:val="Title"/>
    <w:basedOn w:val="Normal"/>
    <w:link w:val="TitleChar1"/>
    <w:uiPriority w:val="99"/>
    <w:qFormat/>
    <w:locked/>
    <w:rsid w:val="00FA2D0A"/>
    <w:pPr>
      <w:spacing w:after="120" w:line="240" w:lineRule="auto"/>
      <w:ind w:firstLine="709"/>
      <w:jc w:val="center"/>
    </w:pPr>
    <w:rPr>
      <w:rFonts w:ascii="Bookman Old Style" w:hAnsi="Bookman Old Style"/>
      <w:iCs/>
      <w:color w:val="0000FF"/>
      <w:sz w:val="28"/>
      <w:szCs w:val="20"/>
      <w:lang w:eastAsia="ru-RU"/>
    </w:rPr>
  </w:style>
  <w:style w:type="character" w:customStyle="1" w:styleId="TitleChar">
    <w:name w:val="Title Char"/>
    <w:basedOn w:val="DefaultParagraphFont"/>
    <w:uiPriority w:val="99"/>
    <w:rPr>
      <w:rFonts w:ascii="Cambria" w:hAnsi="Cambria"/>
      <w:b/>
      <w:kern w:val="28"/>
      <w:sz w:val="32"/>
      <w:lang w:val="ru-RU" w:eastAsia="en-US"/>
    </w:rPr>
  </w:style>
  <w:style w:type="character" w:customStyle="1" w:styleId="TitleChar1">
    <w:name w:val="Title Char1"/>
    <w:link w:val="Title"/>
    <w:uiPriority w:val="99"/>
    <w:locked/>
    <w:rsid w:val="00FA2D0A"/>
    <w:rPr>
      <w:rFonts w:ascii="Bookman Old Style" w:hAnsi="Bookman Old Style"/>
      <w:color w:val="0000FF"/>
      <w:sz w:val="28"/>
      <w:lang w:val="uk-UA" w:eastAsia="ru-RU"/>
    </w:rPr>
  </w:style>
  <w:style w:type="paragraph" w:styleId="NormalWeb">
    <w:name w:val="Normal (Web)"/>
    <w:basedOn w:val="Normal"/>
    <w:uiPriority w:val="99"/>
    <w:rsid w:val="00D5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D5796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F9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ru-RU" w:eastAsia="en-US"/>
    </w:rPr>
  </w:style>
  <w:style w:type="character" w:styleId="Hyperlink">
    <w:name w:val="Hyperlink"/>
    <w:basedOn w:val="DefaultParagraphFont"/>
    <w:uiPriority w:val="99"/>
    <w:rsid w:val="0073224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99"/>
    <w:locked/>
    <w:rsid w:val="00732244"/>
    <w:pPr>
      <w:tabs>
        <w:tab w:val="right" w:leader="dot" w:pos="9356"/>
      </w:tabs>
      <w:spacing w:after="0" w:line="240" w:lineRule="auto"/>
      <w:ind w:firstLine="567"/>
      <w:jc w:val="both"/>
      <w:outlineLvl w:val="1"/>
    </w:pPr>
    <w:rPr>
      <w:rFonts w:ascii="Times New Roman" w:hAnsi="Times New Roman"/>
      <w:color w:val="FFFFFF"/>
      <w:spacing w:val="-6"/>
      <w:sz w:val="28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locked/>
    <w:rsid w:val="00732244"/>
    <w:pPr>
      <w:tabs>
        <w:tab w:val="right" w:leader="dot" w:pos="9485"/>
      </w:tabs>
      <w:spacing w:after="0" w:line="240" w:lineRule="auto"/>
      <w:ind w:firstLine="480"/>
    </w:pPr>
    <w:rPr>
      <w:rFonts w:ascii="Times New Roman" w:hAnsi="Times New Roman"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99"/>
    <w:locked/>
    <w:rsid w:val="00732244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character" w:customStyle="1" w:styleId="TOC1Char">
    <w:name w:val="TOC 1 Char"/>
    <w:link w:val="TOC1"/>
    <w:uiPriority w:val="99"/>
    <w:locked/>
    <w:rsid w:val="00732244"/>
    <w:rPr>
      <w:color w:val="FFFFFF"/>
      <w:spacing w:val="-6"/>
      <w:sz w:val="24"/>
      <w:lang w:val="uk-UA" w:eastAsia="ru-RU"/>
    </w:rPr>
  </w:style>
  <w:style w:type="character" w:styleId="PageNumber">
    <w:name w:val="page number"/>
    <w:basedOn w:val="DefaultParagraphFont"/>
    <w:uiPriority w:val="99"/>
    <w:rsid w:val="004C4663"/>
    <w:rPr>
      <w:rFonts w:cs="Times New Roman"/>
    </w:rPr>
  </w:style>
  <w:style w:type="table" w:styleId="TableGrid">
    <w:name w:val="Table Grid"/>
    <w:basedOn w:val="TableNormal"/>
    <w:uiPriority w:val="99"/>
    <w:locked/>
    <w:rsid w:val="00F9673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24</Pages>
  <Words>5073</Words>
  <Characters>28922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Home</dc:creator>
  <cp:keywords/>
  <dc:description/>
  <cp:lastModifiedBy>ENERGO</cp:lastModifiedBy>
  <cp:revision>2</cp:revision>
  <cp:lastPrinted>2016-01-18T12:18:00Z</cp:lastPrinted>
  <dcterms:created xsi:type="dcterms:W3CDTF">2016-01-18T12:22:00Z</dcterms:created>
  <dcterms:modified xsi:type="dcterms:W3CDTF">2016-01-18T12:22:00Z</dcterms:modified>
</cp:coreProperties>
</file>