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«Про демонтаж тимчасових споруд на території м. 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Правилами благоустрою міста Чернігова визначено поняття тимчасових споруд, до яких відносяться і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FFFFFF" w:val="clear"/>
          <w:lang w:val="uk-UA" w:eastAsia="ru-RU"/>
        </w:rPr>
        <w:t>господарські споруди: сараї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вищезазначених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</w:t>
      </w:r>
      <w:bookmarkStart w:id="0" w:name="__DdeLink__300_1716215007"/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умови та порядок </w:t>
      </w:r>
      <w:bookmarkEnd w:id="0"/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>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 про комісію).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Відповідно до Положення про комісію, комісія надає 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16 квітня 2021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демонтажу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 xml:space="preserve"> незаконно встановлених тимчасових споруд </w:t>
      </w:r>
      <w:bookmarkStart w:id="1" w:name="__DdeLink__97_1282127170"/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 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  <w:bookmarkEnd w:id="1"/>
    </w:p>
    <w:p>
      <w:pPr>
        <w:pStyle w:val="Style26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споруд,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1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9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>В. ХРУСТИЦЬКИЙ</w:t>
      </w:r>
    </w:p>
    <w:p>
      <w:pPr>
        <w:pStyle w:val="Style26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LibreOffice/6.0.7.3$Linux_X86_64 LibreOffice_project/00m0$Build-3</Application>
  <Pages>1</Pages>
  <Words>238</Words>
  <Characters>1642</Characters>
  <CharactersWithSpaces>1883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2021-04-27T11:09:41Z</dcterms:modified>
  <cp:revision>23</cp:revision>
  <dc:subject/>
  <dc:title/>
</cp:coreProperties>
</file>