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EB" w:rsidRPr="0082534A" w:rsidRDefault="00EA1F2B" w:rsidP="008253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34A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231404" w:rsidRDefault="00EA1F2B" w:rsidP="006E5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D3D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</w:t>
      </w:r>
      <w:r w:rsidR="0082534A" w:rsidRPr="006E5D3D">
        <w:rPr>
          <w:rFonts w:ascii="Times New Roman" w:hAnsi="Times New Roman" w:cs="Times New Roman"/>
          <w:b/>
          <w:sz w:val="28"/>
          <w:szCs w:val="28"/>
          <w:lang w:val="uk-UA"/>
        </w:rPr>
        <w:t>ння Чернігівської міської ради «</w:t>
      </w:r>
      <w:r w:rsidR="006E5D3D" w:rsidRPr="006E5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E5D3D" w:rsidRPr="006E5D3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E5D3D" w:rsidRPr="006E5D3D">
        <w:rPr>
          <w:rFonts w:ascii="Times New Roman" w:hAnsi="Times New Roman" w:cs="Times New Roman"/>
          <w:b/>
          <w:sz w:val="28"/>
          <w:szCs w:val="28"/>
          <w:lang w:val="uk-UA"/>
        </w:rPr>
        <w:t>рограм</w:t>
      </w:r>
      <w:r w:rsidR="006E5D3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E5D3D" w:rsidRPr="006E5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висвітлення діяльності органів місцевого самоврядування </w:t>
      </w:r>
      <w:proofErr w:type="spellStart"/>
      <w:r w:rsidR="006E5D3D" w:rsidRPr="006E5D3D">
        <w:rPr>
          <w:rFonts w:ascii="Times New Roman" w:hAnsi="Times New Roman" w:cs="Times New Roman"/>
          <w:b/>
          <w:sz w:val="28"/>
          <w:szCs w:val="28"/>
          <w:lang w:val="uk-UA"/>
        </w:rPr>
        <w:t>м.Чернігова</w:t>
      </w:r>
      <w:proofErr w:type="spellEnd"/>
      <w:r w:rsidR="00231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F2B" w:rsidRPr="006E5D3D" w:rsidRDefault="006E5D3D" w:rsidP="006E5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E5D3D">
        <w:rPr>
          <w:rFonts w:ascii="Times New Roman" w:hAnsi="Times New Roman" w:cs="Times New Roman"/>
          <w:b/>
          <w:sz w:val="28"/>
          <w:szCs w:val="28"/>
          <w:lang w:val="uk-UA"/>
        </w:rPr>
        <w:t>на 2019-2020 роки</w:t>
      </w:r>
      <w:r w:rsidR="00EA1F2B" w:rsidRPr="006E5D3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04E39" w:rsidRDefault="00F04E39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34A" w:rsidRDefault="00EA1F2B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Термін дії прийнятої 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3C0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2016 році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Програми висвітлення діяльності органів місцевого самоврядування міста Чернігова у друкованих засобах масової інформації на 2016 – 2018 роки</w:t>
      </w:r>
      <w:r w:rsidR="00B843C0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спливає. Програма висвітлення діяльності органів місцевого самоврядування </w:t>
      </w:r>
      <w:proofErr w:type="spellStart"/>
      <w:r w:rsidR="00B843C0" w:rsidRPr="0082534A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B843C0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на 2019-2020 рок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43C0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є документом на наступний період.</w:t>
      </w:r>
    </w:p>
    <w:p w:rsidR="00E84246" w:rsidRPr="0082534A" w:rsidRDefault="00E84246" w:rsidP="00E84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Першочергове завдання Програми – суттєво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розшир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аудиторі</w:t>
      </w:r>
      <w:r w:rsidR="00EA66D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, яка буде охоплена об’єктивним та оперативним інформуванням з актуальних питань, які стосуються діяльності органів місцевого самоврядування м.</w:t>
      </w:r>
      <w:r w:rsidR="005C4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Чернігова.</w:t>
      </w:r>
    </w:p>
    <w:p w:rsidR="00D72F64" w:rsidRDefault="00B843C0" w:rsidP="00D7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3644A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до 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реалій </w:t>
      </w:r>
      <w:r w:rsidR="00F3644A" w:rsidRPr="0082534A">
        <w:rPr>
          <w:rFonts w:ascii="Times New Roman" w:hAnsi="Times New Roman" w:cs="Times New Roman"/>
          <w:sz w:val="28"/>
          <w:szCs w:val="28"/>
          <w:lang w:val="uk-UA"/>
        </w:rPr>
        <w:t>сучасного інформаційного простору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 Чернігова</w:t>
      </w:r>
      <w:r w:rsidR="00F3644A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>а також необхідністю інформувати про діяльність органів місц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евого самоврядування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користуються різними джерелами інформації, 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у проект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розширене коло медіа-ресурсів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 (каналів інформації)</w:t>
      </w:r>
      <w:r w:rsidR="00A6730E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можуть оприлюднюватися 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730E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друкованому ЗМІ, в ефірах радіостанцій та на </w:t>
      </w:r>
      <w:r w:rsidR="00D72F64">
        <w:rPr>
          <w:rFonts w:ascii="Times New Roman" w:hAnsi="Times New Roman" w:cs="Times New Roman"/>
          <w:sz w:val="28"/>
          <w:szCs w:val="28"/>
          <w:lang w:val="uk-UA"/>
        </w:rPr>
        <w:t xml:space="preserve">веб-порталах. </w:t>
      </w:r>
    </w:p>
    <w:p w:rsidR="00D72F64" w:rsidRDefault="00D72F64" w:rsidP="00D7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Наразі інформування здійснюється через веб-сайт міської ради та через газету, яка виходить 1 раз на тиждень. Втім є нагальна потреба інформувати міську громаду про прийняті програми, ініціативи та проекти міської ради, попереджати громадян про зміни та обмеження руху транспорту, перекриття руху, зміну розкладу тролейбусного та автобусного транспорту, анонсувати і запрошувати на міські заходи якнайбільше містян. Таким чином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жителів Чернігова через радіостанції та на веб-порталах дозволить суттєво збільшити аудиторію суспільно важливої інформації.</w:t>
      </w:r>
    </w:p>
    <w:p w:rsidR="0082534A" w:rsidRDefault="00F3644A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3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програмі окремо визначені критерії, яким ма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друкован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видання, радіостанці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та веб-портал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>и, з тим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3A0C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щоби </w:t>
      </w:r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</w:t>
      </w:r>
      <w:r w:rsidR="0082534A" w:rsidRPr="0082534A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34A" w:rsidRPr="0082534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2534A"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органів місцевого самоврядування </w:t>
      </w:r>
      <w:proofErr w:type="spellStart"/>
      <w:r w:rsidR="0082534A" w:rsidRPr="0082534A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82534A">
        <w:rPr>
          <w:rFonts w:ascii="Times New Roman" w:hAnsi="Times New Roman" w:cs="Times New Roman"/>
          <w:sz w:val="28"/>
          <w:szCs w:val="28"/>
          <w:lang w:val="uk-UA"/>
        </w:rPr>
        <w:t xml:space="preserve"> охоплювала якнайбільшу аудиторію.</w:t>
      </w:r>
    </w:p>
    <w:p w:rsidR="00E84246" w:rsidRDefault="00E84246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Передбачається, що офіційна інформація розміщуватиметься:</w:t>
      </w:r>
    </w:p>
    <w:p w:rsidR="00E84246" w:rsidRDefault="00E84246" w:rsidP="00E84246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у друкованих ЗМІ,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сфер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розповсюдження – Чернігів, наклад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– не менше </w:t>
      </w:r>
      <w:r w:rsidR="00F04E39" w:rsidRPr="00F04E39">
        <w:rPr>
          <w:rFonts w:ascii="Times New Roman" w:hAnsi="Times New Roman" w:cs="Times New Roman"/>
          <w:sz w:val="28"/>
          <w:szCs w:val="28"/>
          <w:lang w:val="uk-UA"/>
        </w:rPr>
        <w:t>1500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примірників, мов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видання – українська, періодичніст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– не ме</w:t>
      </w:r>
      <w:r>
        <w:rPr>
          <w:rFonts w:ascii="Times New Roman" w:hAnsi="Times New Roman" w:cs="Times New Roman"/>
          <w:sz w:val="28"/>
          <w:szCs w:val="28"/>
          <w:lang w:val="uk-UA"/>
        </w:rPr>
        <w:t>нше 1 разу на тиждень, тематичною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– новинна, суспільно-політична; спос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обом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розповсюдження: передплата та наявність реалізації у роздріб по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м.Черніг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21E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4246" w:rsidRDefault="00E84246" w:rsidP="00E84246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ефірі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радіостанці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транслюються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в ФМ-діапазоні по всій території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умови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наявн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ліцензії на мовлення від Національної ради України з питань телебачення та радіомовлення, спроможніст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виготовляти новинні блоки; підтверджен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дан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щодо слухачів із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із незалежного джерела;</w:t>
      </w:r>
    </w:p>
    <w:p w:rsidR="00F3644A" w:rsidRPr="00E84246" w:rsidRDefault="00E84246" w:rsidP="00E84246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</w:t>
      </w:r>
      <w:r w:rsidR="005C4929">
        <w:rPr>
          <w:rFonts w:ascii="Times New Roman" w:hAnsi="Times New Roman" w:cs="Times New Roman"/>
          <w:sz w:val="28"/>
          <w:szCs w:val="28"/>
          <w:lang w:val="uk-UA"/>
        </w:rPr>
        <w:t>еб-порталах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з наявністю не менше 50% користувачів (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хостів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) із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м.Черніг</w:t>
      </w:r>
      <w:r w:rsidR="00177D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7D0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, відвідуваніст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– не менше </w:t>
      </w:r>
      <w:r w:rsidR="00F04E39" w:rsidRPr="007721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тис. користувачів на добу; 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хостів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F3644A" w:rsidRPr="00E84246">
        <w:rPr>
          <w:rFonts w:ascii="Times New Roman" w:hAnsi="Times New Roman" w:cs="Times New Roman"/>
          <w:sz w:val="28"/>
          <w:szCs w:val="28"/>
          <w:lang w:val="uk-UA"/>
        </w:rPr>
        <w:t xml:space="preserve"> із незалежного джерела.</w:t>
      </w:r>
    </w:p>
    <w:p w:rsidR="00D2530B" w:rsidRDefault="00812851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дани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фінансів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5C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індекс інфляції за 2017 рік становив 113,7%, за 9 місяців 2018 року – 105,6%. Відтак, фінансування Програми на 2019-2020 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збільшується на рівні 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10%. У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 межах інфля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 xml:space="preserve">ційних очікувань: у 2019 році </w:t>
      </w:r>
      <w:r w:rsidR="002770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 xml:space="preserve"> 622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,0 тис. грн, 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2020 році – 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,0 тис</w:t>
      </w:r>
      <w:r w:rsidR="00DF5F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 xml:space="preserve"> грн, загальний обсяг фінансування – 1</w:t>
      </w:r>
      <w:r w:rsidR="00802EA2">
        <w:rPr>
          <w:rFonts w:ascii="Times New Roman" w:hAnsi="Times New Roman" w:cs="Times New Roman"/>
          <w:sz w:val="28"/>
          <w:szCs w:val="28"/>
          <w:lang w:val="uk-UA"/>
        </w:rPr>
        <w:t>306</w:t>
      </w:r>
      <w:r w:rsidRPr="00812851">
        <w:rPr>
          <w:rFonts w:ascii="Times New Roman" w:hAnsi="Times New Roman" w:cs="Times New Roman"/>
          <w:sz w:val="28"/>
          <w:szCs w:val="28"/>
          <w:lang w:val="uk-UA"/>
        </w:rPr>
        <w:t>,00 тис. грн.</w:t>
      </w:r>
      <w:r w:rsidRPr="00802EA2">
        <w:rPr>
          <w:rFonts w:ascii="Helvetica" w:hAnsi="Helvetica"/>
          <w:color w:val="444950"/>
          <w:sz w:val="18"/>
          <w:szCs w:val="18"/>
          <w:shd w:val="clear" w:color="auto" w:fill="F1F0F0"/>
          <w:lang w:val="uk-UA"/>
        </w:rPr>
        <w:t xml:space="preserve"> 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Фактичний обсяг коштів </w:t>
      </w:r>
      <w:proofErr w:type="spellStart"/>
      <w:r w:rsidR="00E84246">
        <w:rPr>
          <w:rFonts w:ascii="Times New Roman" w:hAnsi="Times New Roman" w:cs="Times New Roman"/>
          <w:sz w:val="28"/>
          <w:szCs w:val="28"/>
          <w:lang w:val="uk-UA"/>
        </w:rPr>
        <w:t>залежатиме</w:t>
      </w:r>
      <w:proofErr w:type="spellEnd"/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 від реальної потреб</w:t>
      </w:r>
      <w:r w:rsidR="009600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0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оприлюдненні інформації </w:t>
      </w:r>
      <w:r w:rsidR="0096001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меншим, ніж передбачено Програмою.</w:t>
      </w:r>
    </w:p>
    <w:p w:rsidR="00013FC4" w:rsidRDefault="00013FC4" w:rsidP="00013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FC4" w:rsidRDefault="00013FC4" w:rsidP="00013F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Порівняння ф</w:t>
      </w:r>
      <w:r w:rsidRPr="00B17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інансування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Pr="00B17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висвітлення діяльності міської ради 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друкованих </w:t>
      </w:r>
      <w:r w:rsidRPr="00B17006">
        <w:rPr>
          <w:rFonts w:ascii="Times New Roman" w:hAnsi="Times New Roman" w:cs="Times New Roman"/>
          <w:b/>
          <w:sz w:val="26"/>
          <w:szCs w:val="26"/>
          <w:lang w:val="uk-UA"/>
        </w:rPr>
        <w:t>ЗМІ</w:t>
      </w:r>
    </w:p>
    <w:p w:rsidR="00013FC4" w:rsidRPr="00B17006" w:rsidRDefault="00013FC4" w:rsidP="00013FC4">
      <w:pPr>
        <w:spacing w:after="0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  <w:proofErr w:type="spellStart"/>
      <w:r w:rsidRPr="00B17006">
        <w:rPr>
          <w:rFonts w:ascii="Times New Roman" w:hAnsi="Times New Roman" w:cs="Times New Roman"/>
          <w:i/>
          <w:sz w:val="26"/>
          <w:szCs w:val="26"/>
          <w:lang w:val="uk-UA"/>
        </w:rPr>
        <w:t>тис.грн</w:t>
      </w:r>
      <w:proofErr w:type="spellEnd"/>
    </w:p>
    <w:tbl>
      <w:tblPr>
        <w:tblStyle w:val="a8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3"/>
        <w:gridCol w:w="992"/>
        <w:gridCol w:w="992"/>
        <w:gridCol w:w="992"/>
        <w:gridCol w:w="993"/>
        <w:gridCol w:w="1559"/>
        <w:gridCol w:w="1134"/>
        <w:gridCol w:w="1134"/>
      </w:tblGrid>
      <w:tr w:rsidR="00013FC4" w:rsidRPr="00B17006" w:rsidTr="00013FC4">
        <w:tc>
          <w:tcPr>
            <w:tcW w:w="1277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2010*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2011*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2012*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2013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2014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2015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(газета)</w:t>
            </w:r>
          </w:p>
        </w:tc>
        <w:tc>
          <w:tcPr>
            <w:tcW w:w="1559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2016</w:t>
            </w:r>
          </w:p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(перехідний рік)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2017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>2018</w:t>
            </w:r>
          </w:p>
        </w:tc>
      </w:tr>
      <w:tr w:rsidR="00013FC4" w:rsidRPr="00B17006" w:rsidTr="00013FC4">
        <w:tc>
          <w:tcPr>
            <w:tcW w:w="1277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13FC4">
              <w:rPr>
                <w:rFonts w:ascii="Times New Roman" w:hAnsi="Times New Roman" w:cs="Times New Roman"/>
                <w:b/>
                <w:lang w:val="uk-UA"/>
              </w:rPr>
              <w:t xml:space="preserve">План згідно програми 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650,0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690,0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559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468,0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514,8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566,3</w:t>
            </w:r>
          </w:p>
        </w:tc>
      </w:tr>
      <w:tr w:rsidR="00013FC4" w:rsidRPr="00B17006" w:rsidTr="00013FC4">
        <w:tc>
          <w:tcPr>
            <w:tcW w:w="1277" w:type="dxa"/>
          </w:tcPr>
          <w:p w:rsidR="00013FC4" w:rsidRPr="00013FC4" w:rsidRDefault="00013FC4" w:rsidP="00013FC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13FC4">
              <w:rPr>
                <w:rFonts w:ascii="Times New Roman" w:hAnsi="Times New Roman" w:cs="Times New Roman"/>
                <w:b/>
                <w:lang w:val="uk-UA"/>
              </w:rPr>
              <w:t>Використ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580,5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650,0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608,6</w:t>
            </w:r>
          </w:p>
        </w:tc>
        <w:tc>
          <w:tcPr>
            <w:tcW w:w="992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567,6</w:t>
            </w:r>
          </w:p>
        </w:tc>
        <w:tc>
          <w:tcPr>
            <w:tcW w:w="993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559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812221">
              <w:rPr>
                <w:rFonts w:ascii="Times New Roman" w:hAnsi="Times New Roman" w:cs="Times New Roman"/>
                <w:b/>
                <w:lang w:val="uk-UA"/>
              </w:rPr>
              <w:t>219,8</w:t>
            </w:r>
            <w:r w:rsidRPr="00013FC4">
              <w:rPr>
                <w:rFonts w:ascii="Times New Roman" w:hAnsi="Times New Roman" w:cs="Times New Roman"/>
                <w:lang w:val="uk-UA"/>
              </w:rPr>
              <w:t>, з них:</w:t>
            </w:r>
          </w:p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88,6 – «Чернігівські відомості»</w:t>
            </w:r>
          </w:p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013FC4">
              <w:rPr>
                <w:rFonts w:ascii="Times New Roman" w:hAnsi="Times New Roman" w:cs="Times New Roman"/>
                <w:lang w:val="uk-UA"/>
              </w:rPr>
              <w:t>131,3 – тендер, «7 днів»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812221">
              <w:rPr>
                <w:rFonts w:ascii="Times New Roman" w:hAnsi="Times New Roman" w:cs="Times New Roman"/>
                <w:b/>
                <w:lang w:val="uk-UA"/>
              </w:rPr>
              <w:t>275,3</w:t>
            </w:r>
            <w:r w:rsidRPr="00013FC4">
              <w:rPr>
                <w:rFonts w:ascii="Times New Roman" w:hAnsi="Times New Roman" w:cs="Times New Roman"/>
                <w:lang w:val="uk-UA"/>
              </w:rPr>
              <w:t xml:space="preserve"> – тендер, «7 днів»</w:t>
            </w:r>
          </w:p>
        </w:tc>
        <w:tc>
          <w:tcPr>
            <w:tcW w:w="1134" w:type="dxa"/>
          </w:tcPr>
          <w:p w:rsidR="00013FC4" w:rsidRPr="00013FC4" w:rsidRDefault="00013FC4" w:rsidP="007D598E">
            <w:pPr>
              <w:rPr>
                <w:rFonts w:ascii="Times New Roman" w:hAnsi="Times New Roman" w:cs="Times New Roman"/>
                <w:lang w:val="uk-UA"/>
              </w:rPr>
            </w:pPr>
            <w:r w:rsidRPr="00C9219D">
              <w:rPr>
                <w:rFonts w:ascii="Times New Roman" w:hAnsi="Times New Roman" w:cs="Times New Roman"/>
                <w:lang w:val="uk-UA"/>
              </w:rPr>
              <w:t>155,3 – тендер, «7 днів» (станом на 17.10)</w:t>
            </w:r>
          </w:p>
        </w:tc>
      </w:tr>
    </w:tbl>
    <w:p w:rsidR="00013FC4" w:rsidRPr="00B17006" w:rsidRDefault="00013FC4" w:rsidP="00013FC4">
      <w:pPr>
        <w:ind w:hanging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*кошти виділялись без програми – напряму газеті «Чернігівські відомості»</w:t>
      </w:r>
    </w:p>
    <w:p w:rsidR="00D72F64" w:rsidRDefault="00D72F64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підготовки проекту Програми було опрацьовано досвід кількох обласних центрів. </w:t>
      </w:r>
    </w:p>
    <w:p w:rsidR="00D340C5" w:rsidRPr="00D340C5" w:rsidRDefault="00D340C5" w:rsidP="00D34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0C5">
        <w:rPr>
          <w:rFonts w:ascii="Times New Roman" w:hAnsi="Times New Roman" w:cs="Times New Roman"/>
          <w:sz w:val="28"/>
          <w:szCs w:val="28"/>
          <w:lang w:val="uk-UA"/>
        </w:rPr>
        <w:t xml:space="preserve">Так, у </w:t>
      </w:r>
      <w:r w:rsidRPr="00D34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Полтаві </w:t>
      </w:r>
      <w:r w:rsidRPr="00D340C5">
        <w:rPr>
          <w:rFonts w:ascii="Times New Roman" w:hAnsi="Times New Roman" w:cs="Times New Roman"/>
          <w:sz w:val="28"/>
          <w:szCs w:val="28"/>
          <w:lang w:val="uk-UA"/>
        </w:rPr>
        <w:t>діє Програма висвітлення діяльності органів місцевого самоврядування міста та фінансової підтримки засобів масової інформації на 2018 рік, видатки на періодичні друковані видання становлять 1,290 млн грн.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1-го</w:t>
      </w:r>
      <w:r w:rsidRPr="00D340C5">
        <w:rPr>
          <w:rFonts w:ascii="Times New Roman" w:hAnsi="Times New Roman" w:cs="Times New Roman"/>
          <w:sz w:val="28"/>
          <w:szCs w:val="28"/>
          <w:lang w:val="uk-UA"/>
        </w:rPr>
        <w:t xml:space="preserve"> квадратного сантиметр</w:t>
      </w:r>
      <w:r w:rsidR="006C70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340C5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друкованої площі – 9,0 грн.</w:t>
      </w:r>
    </w:p>
    <w:p w:rsid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>Житомирі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и: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«Ефективна влада. Конкурентне місто», якою на висвітлення діяльності міського голови, посадових осіб та депутатів міської ради у 2017 році використано 144 тис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грн (радіо та ТБ), за 9 місяців 2018 року передбач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 190 тис. грн (телебачення);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«Прозора влада. Відкрите місто» на 2016-2018 роки</w:t>
      </w:r>
      <w:r>
        <w:rPr>
          <w:rFonts w:ascii="Times New Roman" w:hAnsi="Times New Roman" w:cs="Times New Roman"/>
          <w:sz w:val="28"/>
          <w:szCs w:val="28"/>
          <w:lang w:val="uk-UA"/>
        </w:rPr>
        <w:t>, якою на підтримку газети «Місто» та міського радіо у 20</w:t>
      </w:r>
      <w:r w:rsidR="00DF5FE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році використано 1,275 млн грн, на 2018 рік заплановано 602,0 тис. грн,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185,0 тис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грн, у 2018 році – 190,0 тис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12221" w:rsidRP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>Кропивницькому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на висвітлення діяльності міської ради та виконавчого комітету у 2017 році використано 1,243 млн грн, за 9 місяців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2018 року – 1,292 млн грн. Вартість </w:t>
      </w:r>
      <w:r w:rsidR="001B3A0F" w:rsidRPr="008122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40C5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1B3A0F"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0C5" w:rsidRPr="00812221">
        <w:rPr>
          <w:rFonts w:ascii="Times New Roman" w:hAnsi="Times New Roman" w:cs="Times New Roman"/>
          <w:sz w:val="28"/>
          <w:szCs w:val="28"/>
          <w:lang w:val="uk-UA"/>
        </w:rPr>
        <w:t>квадратного</w:t>
      </w:r>
      <w:r w:rsidR="00D340C5"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A0F" w:rsidRPr="00812221">
        <w:rPr>
          <w:rFonts w:ascii="Times New Roman" w:hAnsi="Times New Roman" w:cs="Times New Roman"/>
          <w:sz w:val="28"/>
          <w:szCs w:val="28"/>
          <w:lang w:val="uk-UA"/>
        </w:rPr>
        <w:t>сантиметр</w:t>
      </w:r>
      <w:r w:rsidR="006C70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3A0F"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друкованої п</w:t>
      </w:r>
      <w:r w:rsidR="001B3A0F">
        <w:rPr>
          <w:rFonts w:ascii="Times New Roman" w:hAnsi="Times New Roman" w:cs="Times New Roman"/>
          <w:sz w:val="28"/>
          <w:szCs w:val="28"/>
          <w:lang w:val="uk-UA"/>
        </w:rPr>
        <w:t>лощі – від 6,75 грн до 33 грн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>Вінниці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діє Програма висвітлення діяльності міської ради, її виконавчих органів, фінансової підтримки (дотації) комуналь</w:t>
      </w:r>
      <w:r w:rsidR="006C707C">
        <w:rPr>
          <w:rFonts w:ascii="Times New Roman" w:hAnsi="Times New Roman" w:cs="Times New Roman"/>
          <w:sz w:val="28"/>
          <w:szCs w:val="28"/>
          <w:lang w:val="uk-UA"/>
        </w:rPr>
        <w:t>ним ЗМІ. Відповідно до документа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, у 2017 році витрати на підтримку місцевого КП Радіокомпанія «Місто над Бугом» становила 1,612 млн грн, КП Редакція газети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«Вінницька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газета» -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1,498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місяців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2,186 млн грн та 1,402 млн грн відповідно. Крім того</w:t>
      </w:r>
      <w:r w:rsidR="001B3A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на висвітлення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приватних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ЗМІ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295,4 тис. грн, за 9 місяців 2018 року – 204,9 тис</w:t>
      </w:r>
      <w:r w:rsidR="00755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грн. Вартість </w:t>
      </w:r>
      <w:r w:rsidR="00134543" w:rsidRPr="008122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4543">
        <w:rPr>
          <w:rFonts w:ascii="Times New Roman" w:hAnsi="Times New Roman" w:cs="Times New Roman"/>
          <w:sz w:val="28"/>
          <w:szCs w:val="28"/>
          <w:lang w:val="uk-UA"/>
        </w:rPr>
        <w:t xml:space="preserve">-го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квадратного сантиметр</w:t>
      </w:r>
      <w:r w:rsidR="006C70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друкованої площі становить у 2018 році 5,0 грн</w:t>
      </w:r>
      <w:r w:rsidR="001345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543">
        <w:rPr>
          <w:rFonts w:ascii="Times New Roman" w:hAnsi="Times New Roman" w:cs="Times New Roman"/>
          <w:sz w:val="28"/>
          <w:szCs w:val="28"/>
          <w:lang w:val="uk-UA"/>
        </w:rPr>
        <w:t>але може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збільшу</w:t>
      </w:r>
      <w:r w:rsidR="00134543">
        <w:rPr>
          <w:rFonts w:ascii="Times New Roman" w:hAnsi="Times New Roman" w:cs="Times New Roman"/>
          <w:sz w:val="28"/>
          <w:szCs w:val="28"/>
          <w:lang w:val="uk-UA"/>
        </w:rPr>
        <w:t>ватися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у залежно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від накладу друкованого ЗМІ.</w:t>
      </w:r>
    </w:p>
    <w:p w:rsid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5A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F55A0">
        <w:rPr>
          <w:rFonts w:ascii="Times New Roman" w:hAnsi="Times New Roman" w:cs="Times New Roman"/>
          <w:b/>
          <w:sz w:val="28"/>
          <w:szCs w:val="28"/>
          <w:lang w:val="uk-UA"/>
        </w:rPr>
        <w:t>Сумах</w:t>
      </w:r>
      <w:r w:rsidRPr="00FF55A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чинної програми «Відкритий інформаційний простір м. Суми на 2016-2018 роки» у 2017 ро</w:t>
      </w:r>
      <w:r w:rsidR="00127D6A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F55A0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на висвітлення діяльності використано 538 тис. грн</w:t>
      </w:r>
      <w:r w:rsidR="00FF55A0" w:rsidRPr="00FF55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>Хмельницькому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газети Хмельницької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43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Проскурів</w:t>
      </w:r>
      <w:r w:rsidR="004843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>2017-2018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витрачено </w:t>
      </w:r>
      <w:r w:rsidR="00CE4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1,4 млн гр</w:t>
      </w:r>
      <w:r w:rsidR="006B15F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43A1" w:rsidRDefault="004843A1" w:rsidP="00484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порівняння, сумарні витрати 2 програм, відповідно до яких здійснюються видатки на висвітлення діяльності </w:t>
      </w:r>
      <w:r w:rsidRPr="004843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Дніпровської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у 2017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становили: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радіо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5,0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млн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Інтернет –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4,0 млн грн,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друкованих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5,0 млн грн,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5,5 млн грн,  4,4  млн грн, 5,5 млн грн. Окремо фінансується діяльність КП </w:t>
      </w:r>
      <w:r w:rsidRPr="004843A1">
        <w:rPr>
          <w:rFonts w:ascii="Times New Roman" w:hAnsi="Times New Roman" w:cs="Times New Roman"/>
          <w:sz w:val="28"/>
          <w:szCs w:val="28"/>
          <w:lang w:val="uk-UA"/>
        </w:rPr>
        <w:t>«Редакції газети «Наше місто»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7,3 млн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2017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році,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8,7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млн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71C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92F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2018 році.</w:t>
      </w:r>
    </w:p>
    <w:p w:rsidR="00812221" w:rsidRDefault="00812221" w:rsidP="00812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221">
        <w:rPr>
          <w:rFonts w:ascii="Times New Roman" w:hAnsi="Times New Roman" w:cs="Times New Roman"/>
          <w:sz w:val="28"/>
          <w:szCs w:val="28"/>
          <w:lang w:val="uk-UA"/>
        </w:rPr>
        <w:t>Таким чином, видатки на висвітлення діяльності Чернігівської міської ради у друкованих ЗМІ протягом 2017-2018 років були меншими, ніж</w:t>
      </w:r>
      <w:r w:rsidR="00777CD8">
        <w:rPr>
          <w:rFonts w:ascii="Times New Roman" w:hAnsi="Times New Roman" w:cs="Times New Roman"/>
          <w:sz w:val="28"/>
          <w:szCs w:val="28"/>
          <w:lang w:val="uk-UA"/>
        </w:rPr>
        <w:t xml:space="preserve"> у абсолютної більшості обласних</w:t>
      </w:r>
      <w:r w:rsidRPr="00812221">
        <w:rPr>
          <w:rFonts w:ascii="Times New Roman" w:hAnsi="Times New Roman" w:cs="Times New Roman"/>
          <w:sz w:val="28"/>
          <w:szCs w:val="28"/>
          <w:lang w:val="uk-UA"/>
        </w:rPr>
        <w:t xml:space="preserve"> центрів рівних за потенціалом, на порядок меншими, ніж у більших містах. </w:t>
      </w:r>
    </w:p>
    <w:p w:rsidR="00A14C6F" w:rsidRDefault="00D2530B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виконання 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повноти та оперативності інформування жителів міста 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>із питань діяльності орга</w:t>
      </w:r>
      <w:r w:rsidR="005C4929">
        <w:rPr>
          <w:rFonts w:ascii="Times New Roman" w:hAnsi="Times New Roman" w:cs="Times New Roman"/>
          <w:sz w:val="28"/>
          <w:szCs w:val="28"/>
          <w:lang w:val="uk-UA"/>
        </w:rPr>
        <w:t>нів місцевого самоврядування м.</w:t>
      </w:r>
      <w:r w:rsidR="001F314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4246">
        <w:rPr>
          <w:rFonts w:ascii="Times New Roman" w:hAnsi="Times New Roman" w:cs="Times New Roman"/>
          <w:sz w:val="28"/>
          <w:szCs w:val="28"/>
          <w:lang w:val="uk-UA"/>
        </w:rPr>
        <w:t xml:space="preserve">Чернігова, підвищення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прозорості діяльності органів місцевого самоврядування, більше залучення членів територіальної громади до обговорення проектів актів міської ради, сприяння кращій взаємодії громадян та ор</w:t>
      </w:r>
      <w:r w:rsidR="00F04E39">
        <w:rPr>
          <w:rFonts w:ascii="Times New Roman" w:hAnsi="Times New Roman" w:cs="Times New Roman"/>
          <w:sz w:val="28"/>
          <w:szCs w:val="28"/>
          <w:lang w:val="uk-UA"/>
        </w:rPr>
        <w:t xml:space="preserve">ганів місцевого самоврядування, а також 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забезпечення індивідуальних інформаційних потреб населення</w:t>
      </w:r>
      <w:r w:rsidR="00F04E39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8253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E39" w:rsidRDefault="00F04E39" w:rsidP="00F04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Програми здійснюватиметься через закупівлю </w:t>
      </w:r>
      <w:r w:rsidRPr="00F04E39">
        <w:rPr>
          <w:rFonts w:ascii="Times New Roman" w:hAnsi="Times New Roman" w:cs="Times New Roman"/>
          <w:sz w:val="28"/>
          <w:szCs w:val="28"/>
          <w:lang w:val="uk-UA"/>
        </w:rPr>
        <w:t xml:space="preserve">послуг в електронній системі публічних </w:t>
      </w:r>
      <w:proofErr w:type="spellStart"/>
      <w:r w:rsidRPr="00F04E3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04E3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04E39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F04E39">
        <w:rPr>
          <w:rFonts w:ascii="Times New Roman" w:hAnsi="Times New Roman" w:cs="Times New Roman"/>
          <w:sz w:val="28"/>
          <w:szCs w:val="28"/>
          <w:lang w:val="uk-UA"/>
        </w:rPr>
        <w:t>» або в іншій авторизовані</w:t>
      </w:r>
      <w:r w:rsidR="005C492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04E39">
        <w:rPr>
          <w:rFonts w:ascii="Times New Roman" w:hAnsi="Times New Roman" w:cs="Times New Roman"/>
          <w:sz w:val="28"/>
          <w:szCs w:val="28"/>
          <w:lang w:val="uk-UA"/>
        </w:rPr>
        <w:t xml:space="preserve"> системі у відповідності із регламентом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електронних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або ж</w:t>
      </w:r>
      <w:r w:rsidR="00960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E39">
        <w:rPr>
          <w:rFonts w:ascii="Times New Roman" w:hAnsi="Times New Roman" w:cs="Times New Roman"/>
          <w:sz w:val="28"/>
          <w:szCs w:val="28"/>
          <w:lang w:val="uk-UA"/>
        </w:rPr>
        <w:t>відповідно до процедури торгів, встановлених законод</w:t>
      </w:r>
      <w:r>
        <w:rPr>
          <w:rFonts w:ascii="Times New Roman" w:hAnsi="Times New Roman" w:cs="Times New Roman"/>
          <w:sz w:val="28"/>
          <w:szCs w:val="28"/>
          <w:lang w:val="uk-UA"/>
        </w:rPr>
        <w:t>авством про публічні закупівлі –</w:t>
      </w:r>
      <w:r w:rsidRPr="00F04E39">
        <w:rPr>
          <w:rFonts w:ascii="Times New Roman" w:hAnsi="Times New Roman" w:cs="Times New Roman"/>
          <w:sz w:val="28"/>
          <w:szCs w:val="28"/>
          <w:lang w:val="uk-UA"/>
        </w:rPr>
        <w:t xml:space="preserve"> якщо річна вартість послуг дорівнює або перевищує 200 тисяч гривень.</w:t>
      </w:r>
    </w:p>
    <w:p w:rsidR="00812221" w:rsidRPr="00F04E39" w:rsidRDefault="00812221" w:rsidP="00F04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30B" w:rsidRPr="00812221" w:rsidRDefault="008C5A72" w:rsidP="008C5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n757"/>
      <w:bookmarkEnd w:id="1"/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прес-служби міської ради                                      А. Ф. </w:t>
      </w:r>
      <w:proofErr w:type="spellStart"/>
      <w:r w:rsidRPr="00812221">
        <w:rPr>
          <w:rFonts w:ascii="Times New Roman" w:hAnsi="Times New Roman" w:cs="Times New Roman"/>
          <w:b/>
          <w:sz w:val="28"/>
          <w:szCs w:val="28"/>
          <w:lang w:val="uk-UA"/>
        </w:rPr>
        <w:t>Подорван</w:t>
      </w:r>
      <w:proofErr w:type="spellEnd"/>
    </w:p>
    <w:p w:rsidR="00A14C6F" w:rsidRPr="0082534A" w:rsidRDefault="00A14C6F" w:rsidP="0082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14C6F" w:rsidRPr="0082534A" w:rsidSect="008C5A72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17C"/>
    <w:multiLevelType w:val="multilevel"/>
    <w:tmpl w:val="7AE08210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1622440E"/>
    <w:multiLevelType w:val="hybridMultilevel"/>
    <w:tmpl w:val="46FC90C4"/>
    <w:lvl w:ilvl="0" w:tplc="127A18F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7650CB"/>
    <w:multiLevelType w:val="hybridMultilevel"/>
    <w:tmpl w:val="629C82C0"/>
    <w:lvl w:ilvl="0" w:tplc="127A18F2">
      <w:numFmt w:val="bullet"/>
      <w:lvlText w:val="-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6E9D4646"/>
    <w:multiLevelType w:val="hybridMultilevel"/>
    <w:tmpl w:val="6630DC90"/>
    <w:lvl w:ilvl="0" w:tplc="DDB0548C">
      <w:numFmt w:val="bullet"/>
      <w:lvlText w:val="-"/>
      <w:lvlJc w:val="left"/>
      <w:pPr>
        <w:ind w:left="1116" w:hanging="396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2B"/>
    <w:rsid w:val="00013FC4"/>
    <w:rsid w:val="00092FCD"/>
    <w:rsid w:val="00127D6A"/>
    <w:rsid w:val="00134543"/>
    <w:rsid w:val="00176C4D"/>
    <w:rsid w:val="00177D0C"/>
    <w:rsid w:val="001B3A0F"/>
    <w:rsid w:val="001F3144"/>
    <w:rsid w:val="00231404"/>
    <w:rsid w:val="002770B4"/>
    <w:rsid w:val="002F0DEB"/>
    <w:rsid w:val="004843A1"/>
    <w:rsid w:val="004A0CC2"/>
    <w:rsid w:val="004F60CA"/>
    <w:rsid w:val="0050071C"/>
    <w:rsid w:val="005C4929"/>
    <w:rsid w:val="005C55FF"/>
    <w:rsid w:val="006B15FB"/>
    <w:rsid w:val="006C707C"/>
    <w:rsid w:val="006E5D3D"/>
    <w:rsid w:val="00755186"/>
    <w:rsid w:val="007721EC"/>
    <w:rsid w:val="00777CD8"/>
    <w:rsid w:val="00802EA2"/>
    <w:rsid w:val="00812221"/>
    <w:rsid w:val="00812851"/>
    <w:rsid w:val="0082534A"/>
    <w:rsid w:val="00833A60"/>
    <w:rsid w:val="008C5A72"/>
    <w:rsid w:val="0096001E"/>
    <w:rsid w:val="00993A0C"/>
    <w:rsid w:val="00A14C6F"/>
    <w:rsid w:val="00A6730E"/>
    <w:rsid w:val="00B843C0"/>
    <w:rsid w:val="00C9219D"/>
    <w:rsid w:val="00CE4E45"/>
    <w:rsid w:val="00D2530B"/>
    <w:rsid w:val="00D340C5"/>
    <w:rsid w:val="00D72F64"/>
    <w:rsid w:val="00D81906"/>
    <w:rsid w:val="00DB1AC8"/>
    <w:rsid w:val="00DF2A6C"/>
    <w:rsid w:val="00DF5FE5"/>
    <w:rsid w:val="00E26CC1"/>
    <w:rsid w:val="00E84246"/>
    <w:rsid w:val="00EA1F2B"/>
    <w:rsid w:val="00EA66D8"/>
    <w:rsid w:val="00F04E39"/>
    <w:rsid w:val="00F13316"/>
    <w:rsid w:val="00F3644A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C465C-1811-4FD8-9E7C-7660814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4D"/>
  </w:style>
  <w:style w:type="paragraph" w:styleId="1">
    <w:name w:val="heading 1"/>
    <w:basedOn w:val="a"/>
    <w:link w:val="10"/>
    <w:uiPriority w:val="9"/>
    <w:qFormat/>
    <w:rsid w:val="0017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rsid w:val="00D25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D253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42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EA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1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2682-DA78-4272-8F30-D138A95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Світлана О. Назадзе</cp:lastModifiedBy>
  <cp:revision>3</cp:revision>
  <cp:lastPrinted>2018-11-07T13:27:00Z</cp:lastPrinted>
  <dcterms:created xsi:type="dcterms:W3CDTF">2018-11-07T13:30:00Z</dcterms:created>
  <dcterms:modified xsi:type="dcterms:W3CDTF">2018-11-07T13:41:00Z</dcterms:modified>
</cp:coreProperties>
</file>