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9B" w:rsidRDefault="00C85D9B" w:rsidP="00C85D9B">
      <w:pPr>
        <w:pStyle w:val="a5"/>
        <w:pageBreakBefore/>
        <w:spacing w:before="0" w:after="0"/>
        <w:ind w:firstLine="708"/>
        <w:jc w:val="right"/>
      </w:pPr>
      <w:r>
        <w:rPr>
          <w:sz w:val="28"/>
          <w:szCs w:val="28"/>
        </w:rPr>
        <w:t>Додаток</w:t>
      </w:r>
      <w:r>
        <w:rPr>
          <w:rStyle w:val="apple-converted-space"/>
          <w:sz w:val="28"/>
          <w:szCs w:val="28"/>
        </w:rPr>
        <w:t> 3</w:t>
      </w:r>
      <w:r>
        <w:rPr>
          <w:sz w:val="28"/>
          <w:szCs w:val="28"/>
        </w:rPr>
        <w:t xml:space="preserve"> до Правил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eastAsia="ru-RU"/>
        </w:rPr>
        <w:t>благоустрою м. Чернігова</w:t>
      </w:r>
    </w:p>
    <w:p w:rsidR="00C85D9B" w:rsidRDefault="00C85D9B" w:rsidP="00C85D9B">
      <w:pPr>
        <w:pStyle w:val="rvps7"/>
        <w:shd w:val="clear" w:color="auto" w:fill="FFFFFF"/>
        <w:spacing w:before="150" w:after="150"/>
        <w:ind w:left="450" w:right="450"/>
        <w:jc w:val="center"/>
        <w:rPr>
          <w:rStyle w:val="rvts15"/>
          <w:b/>
          <w:bCs/>
          <w:color w:val="000000"/>
          <w:sz w:val="28"/>
          <w:szCs w:val="28"/>
        </w:rPr>
      </w:pPr>
    </w:p>
    <w:p w:rsidR="00C85D9B" w:rsidRDefault="00C85D9B" w:rsidP="00C85D9B">
      <w:pPr>
        <w:pStyle w:val="rvps7"/>
        <w:shd w:val="clear" w:color="auto" w:fill="FFFFFF"/>
        <w:spacing w:before="150" w:after="150"/>
        <w:ind w:left="450" w:right="450"/>
        <w:jc w:val="center"/>
      </w:pPr>
      <w:r>
        <w:rPr>
          <w:rStyle w:val="rvts15"/>
          <w:b/>
          <w:bCs/>
          <w:color w:val="000000"/>
          <w:sz w:val="28"/>
          <w:szCs w:val="28"/>
        </w:rPr>
        <w:t>Межі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br/>
      </w:r>
      <w:r>
        <w:rPr>
          <w:rStyle w:val="rvts15"/>
          <w:b/>
          <w:bCs/>
          <w:color w:val="000000"/>
          <w:sz w:val="28"/>
          <w:szCs w:val="28"/>
        </w:rPr>
        <w:t>утримання прилеглих територій підприємств, установ, організацій</w:t>
      </w:r>
    </w:p>
    <w:tbl>
      <w:tblPr>
        <w:tblW w:w="5100" w:type="pct"/>
        <w:tblInd w:w="-3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0"/>
        <w:gridCol w:w="3282"/>
        <w:gridCol w:w="2604"/>
        <w:gridCol w:w="3475"/>
      </w:tblGrid>
      <w:tr w:rsidR="00C85D9B" w:rsidTr="00482DA1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2"/>
              <w:spacing w:before="0" w:after="0"/>
              <w:jc w:val="center"/>
            </w:pPr>
            <w:bookmarkStart w:id="0" w:name="n206"/>
            <w:bookmarkEnd w:id="0"/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2"/>
              <w:spacing w:before="0" w:after="0"/>
              <w:jc w:val="center"/>
            </w:pPr>
            <w:r>
              <w:rPr>
                <w:sz w:val="28"/>
                <w:szCs w:val="28"/>
              </w:rPr>
              <w:t>Прилегла територія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2"/>
              <w:spacing w:before="0" w:after="0"/>
              <w:jc w:val="center"/>
            </w:pPr>
            <w:r>
              <w:rPr>
                <w:sz w:val="28"/>
                <w:szCs w:val="28"/>
              </w:rPr>
              <w:t>Суб’єкти господарювання, на яких покладається утримання прилеглої території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2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Межі утримання прилеглої території підприємства, установи, організації </w:t>
            </w:r>
          </w:p>
          <w:p w:rsidR="00C85D9B" w:rsidRDefault="00C85D9B" w:rsidP="00482DA1">
            <w:pPr>
              <w:pStyle w:val="rvps12"/>
              <w:spacing w:before="0" w:after="0"/>
              <w:jc w:val="center"/>
            </w:pPr>
            <w:r>
              <w:rPr>
                <w:sz w:val="28"/>
                <w:szCs w:val="28"/>
              </w:rPr>
              <w:t>(не менше)</w:t>
            </w:r>
          </w:p>
        </w:tc>
      </w:tr>
      <w:tr w:rsidR="00C85D9B" w:rsidTr="00482DA1">
        <w:trPr>
          <w:trHeight w:val="285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2"/>
              <w:spacing w:before="150" w:after="15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2"/>
              <w:spacing w:before="150" w:after="15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2"/>
              <w:spacing w:before="150" w:after="15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2"/>
              <w:spacing w:before="150" w:after="15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C85D9B" w:rsidTr="00482DA1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2"/>
              <w:spacing w:before="150" w:after="15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 xml:space="preserve">Двори, тротуари, покриття проїжджої частини проїздів, прибудинкової території житлового фонду 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Управителі багатоквартирних будинків, житлово-будівельні кооперативи, об’єднання співвласників багатоквартирного будинку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До тротуару, проїжджої частини вулиці (бордюрного каменю), але не менше, ніж 20 м від межі відведеної земельної ділянки</w:t>
            </w:r>
          </w:p>
        </w:tc>
        <w:bookmarkStart w:id="1" w:name="_GoBack"/>
        <w:bookmarkEnd w:id="1"/>
      </w:tr>
      <w:tr w:rsidR="00C85D9B" w:rsidTr="00482DA1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2"/>
              <w:spacing w:before="150" w:after="15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Двори, тротуари, майданчики, покриття проїжджої частини вулиці, інші території земельних ділянок, що надані у власність чи користування юридичним або фізичним особам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Власники або користувачі земельних ділянок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20 м від межі земельної ділянки або до тротуару, проїжджої частини вулиці (бордюрного каменю)</w:t>
            </w:r>
          </w:p>
        </w:tc>
      </w:tr>
      <w:tr w:rsidR="00C85D9B" w:rsidTr="00482DA1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2"/>
              <w:spacing w:before="150" w:after="15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Території, прилеглі до об’єктів соціальної інфраструктури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Суб’єкти господарювання, що експлуатують вказані об’єкти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15 м від межі земельної ділянки або до тротуару, проїжджої частини вулиці (бордюрного каменю)</w:t>
            </w:r>
          </w:p>
        </w:tc>
      </w:tr>
      <w:tr w:rsidR="00C85D9B" w:rsidTr="00482DA1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2"/>
              <w:spacing w:before="150" w:after="15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Території, прилеглі до автозаправних станцій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Суб’єкти господарювання, що експлуатують вказані об’єкти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50 м від межі земельної ділянки, що надана у власність (користування), або до тротуару, проїжджої частини вулиці (бордюрного каменю)</w:t>
            </w:r>
          </w:p>
        </w:tc>
      </w:tr>
      <w:tr w:rsidR="00C85D9B" w:rsidTr="00482DA1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2"/>
              <w:spacing w:before="150" w:after="150"/>
              <w:jc w:val="center"/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Території, прилеглі до торговельних центрів, об’єктів побутового обслуговування, громадського харчування, авторемонтних майстерень, магазинів, ринків, тимчасових споруд торговельного, побутового, соціально-культурного чи іншого призначення для здійснення підприємницької діяльності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Суб’єкти господарювання, що експлуатують вказані об’єкти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20 м від межі земельної ділянки, що надана у власність (користування), або до тротуару, проїжджої частини вулиці (бордюрного каменю)</w:t>
            </w:r>
          </w:p>
        </w:tc>
      </w:tr>
      <w:tr w:rsidR="00C85D9B" w:rsidTr="00482DA1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2"/>
              <w:spacing w:before="150" w:after="15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Території, прилеглі до колективних гаражів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Гаражно-будівельні кооперативи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20 м від межі земельної ділянки, що надана у власність (користування), або до тротуару, проїжджої частини вулиці (бордюрного каменю)</w:t>
            </w:r>
          </w:p>
        </w:tc>
      </w:tr>
      <w:tr w:rsidR="00C85D9B" w:rsidTr="00482DA1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2"/>
              <w:spacing w:before="150" w:after="150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Території, прилеглі до центрально-теплових, трансформаторних, газорозподільних, тяглових підстанцій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Підприємства, установи, організації, на балансі яких знаходяться вказані об’єкти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у радіусі 10 м від периметру споруд або до тротуару, проїжджої частини вулиці (бордюрного каменю)</w:t>
            </w:r>
          </w:p>
        </w:tc>
      </w:tr>
      <w:tr w:rsidR="00C85D9B" w:rsidTr="00482DA1">
        <w:trPr>
          <w:trHeight w:val="183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2"/>
              <w:spacing w:before="150" w:after="150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Тролейбусні, автобусні зупинки та зупинки маршрутних транспортних засобів і стоянки (місця відстою) маршрутних таксі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Відповідні дорожньо-експлуатаційні підприємства або інші суб’єкти господарювання на договірних засадах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у радіусі 20 м від периметру споруд або до тротуару, проїжджої частини вулиці (бордюрного каменю)</w:t>
            </w:r>
          </w:p>
        </w:tc>
      </w:tr>
      <w:tr w:rsidR="00C85D9B" w:rsidTr="00482DA1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2"/>
              <w:spacing w:before="150" w:after="150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Майданчики для паркування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Суб’єкти господарювання, які утримують майданчики для паркування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20 м від периметру споруд або до тротуару, проїжджої частини вулиці (бордюрного каменю)</w:t>
            </w:r>
          </w:p>
        </w:tc>
      </w:tr>
      <w:tr w:rsidR="00C85D9B" w:rsidTr="00482DA1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2"/>
              <w:spacing w:before="150" w:after="150"/>
              <w:jc w:val="center"/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Мости, шляхопроводи, інші штучні споруди, території під шляхопроводами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Балансоутримувачі штучних споруд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10 м від периметру споруд</w:t>
            </w:r>
          </w:p>
        </w:tc>
      </w:tr>
      <w:tr w:rsidR="00C85D9B" w:rsidTr="00482DA1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2"/>
              <w:spacing w:before="150" w:after="150"/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Контейнерні майданчики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Балансоутримувачі територій, на яких розміщено контейнерні майданчики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5 м від периметру споруд</w:t>
            </w:r>
          </w:p>
        </w:tc>
      </w:tr>
      <w:tr w:rsidR="00C85D9B" w:rsidRPr="00454FAF" w:rsidTr="00482DA1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2"/>
              <w:spacing w:before="150" w:after="150"/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Території, відведені під проектування та забудову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Фізичні особи, яким відповідно до чинного законодавства України відведені земельні ділянки, незалежно від того, ведуться на них роботи чи не ведуться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5D9B" w:rsidRDefault="00C85D9B" w:rsidP="00482DA1">
            <w:pPr>
              <w:pStyle w:val="rvps14"/>
              <w:spacing w:before="150" w:after="150"/>
            </w:pPr>
            <w:r>
              <w:rPr>
                <w:sz w:val="28"/>
                <w:szCs w:val="28"/>
              </w:rPr>
              <w:t>20 м від межі земельної ділянки, яка відведена під проектування та забудову, або до тротуару, проїжджої частини вулиці (бордюрного каменю)</w:t>
            </w:r>
          </w:p>
        </w:tc>
      </w:tr>
    </w:tbl>
    <w:p w:rsidR="00C85D9B" w:rsidRDefault="00C85D9B" w:rsidP="00C85D9B">
      <w:pPr>
        <w:pStyle w:val="rvps7"/>
        <w:shd w:val="clear" w:color="auto" w:fill="FFFFFF"/>
        <w:spacing w:before="0" w:after="0"/>
        <w:ind w:left="6237"/>
        <w:jc w:val="both"/>
        <w:rPr>
          <w:sz w:val="28"/>
          <w:szCs w:val="28"/>
        </w:rPr>
      </w:pPr>
    </w:p>
    <w:p w:rsidR="0073326A" w:rsidRPr="00C85D9B" w:rsidRDefault="0073326A" w:rsidP="00C85D9B">
      <w:pPr>
        <w:rPr>
          <w:lang w:val="uk-UA"/>
        </w:rPr>
      </w:pPr>
    </w:p>
    <w:sectPr w:rsidR="0073326A" w:rsidRPr="00C85D9B" w:rsidSect="00454FAF">
      <w:headerReference w:type="default" r:id="rId6"/>
      <w:pgSz w:w="11906" w:h="16838"/>
      <w:pgMar w:top="1134" w:right="567" w:bottom="1134" w:left="1701" w:header="709" w:footer="709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984" w:rsidRDefault="00F92984" w:rsidP="00454FAF">
      <w:pPr>
        <w:spacing w:after="0" w:line="240" w:lineRule="auto"/>
      </w:pPr>
      <w:r>
        <w:separator/>
      </w:r>
    </w:p>
  </w:endnote>
  <w:endnote w:type="continuationSeparator" w:id="0">
    <w:p w:rsidR="00F92984" w:rsidRDefault="00F92984" w:rsidP="0045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984" w:rsidRDefault="00F92984" w:rsidP="00454FAF">
      <w:pPr>
        <w:spacing w:after="0" w:line="240" w:lineRule="auto"/>
      </w:pPr>
      <w:r>
        <w:separator/>
      </w:r>
    </w:p>
  </w:footnote>
  <w:footnote w:type="continuationSeparator" w:id="0">
    <w:p w:rsidR="00F92984" w:rsidRDefault="00F92984" w:rsidP="0045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090865"/>
      <w:docPartObj>
        <w:docPartGallery w:val="Page Numbers (Top of Page)"/>
        <w:docPartUnique/>
      </w:docPartObj>
    </w:sdtPr>
    <w:sdtContent>
      <w:p w:rsidR="00454FAF" w:rsidRDefault="00454F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62</w:t>
        </w:r>
        <w:r>
          <w:fldChar w:fldCharType="end"/>
        </w:r>
      </w:p>
    </w:sdtContent>
  </w:sdt>
  <w:p w:rsidR="00454FAF" w:rsidRDefault="00454F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15"/>
    <w:rsid w:val="00134115"/>
    <w:rsid w:val="003B0E88"/>
    <w:rsid w:val="00416623"/>
    <w:rsid w:val="00454FAF"/>
    <w:rsid w:val="004A1635"/>
    <w:rsid w:val="00684F3A"/>
    <w:rsid w:val="0073326A"/>
    <w:rsid w:val="008B3234"/>
    <w:rsid w:val="0097041C"/>
    <w:rsid w:val="00A61A36"/>
    <w:rsid w:val="00B044A3"/>
    <w:rsid w:val="00C567EB"/>
    <w:rsid w:val="00C85D9B"/>
    <w:rsid w:val="00EA761F"/>
    <w:rsid w:val="00F362BE"/>
    <w:rsid w:val="00F9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98C2E-43BB-4A90-A50F-71E9A12C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2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85D9B"/>
  </w:style>
  <w:style w:type="character" w:customStyle="1" w:styleId="rvts15">
    <w:name w:val="rvts15"/>
    <w:basedOn w:val="a0"/>
    <w:rsid w:val="00C85D9B"/>
  </w:style>
  <w:style w:type="paragraph" w:styleId="a5">
    <w:name w:val="Normal (Web)"/>
    <w:basedOn w:val="a"/>
    <w:rsid w:val="00C85D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rvps14">
    <w:name w:val="rvps14"/>
    <w:basedOn w:val="a"/>
    <w:rsid w:val="00C85D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rvps7">
    <w:name w:val="rvps7"/>
    <w:basedOn w:val="a"/>
    <w:rsid w:val="00C85D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rvps12">
    <w:name w:val="rvps12"/>
    <w:basedOn w:val="a"/>
    <w:rsid w:val="00C85D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6">
    <w:name w:val="header"/>
    <w:basedOn w:val="a"/>
    <w:link w:val="a7"/>
    <w:uiPriority w:val="99"/>
    <w:unhideWhenUsed/>
    <w:rsid w:val="00454F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4FAF"/>
  </w:style>
  <w:style w:type="paragraph" w:styleId="a8">
    <w:name w:val="footer"/>
    <w:basedOn w:val="a"/>
    <w:link w:val="a9"/>
    <w:uiPriority w:val="99"/>
    <w:unhideWhenUsed/>
    <w:rsid w:val="00454F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4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 Жежко</cp:lastModifiedBy>
  <cp:revision>16</cp:revision>
  <cp:lastPrinted>2019-11-18T06:41:00Z</cp:lastPrinted>
  <dcterms:created xsi:type="dcterms:W3CDTF">2019-11-18T06:36:00Z</dcterms:created>
  <dcterms:modified xsi:type="dcterms:W3CDTF">2019-11-19T15:07:00Z</dcterms:modified>
</cp:coreProperties>
</file>