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8F621" w14:textId="41FA93BA" w:rsidR="00A60343" w:rsidRPr="0070468D" w:rsidRDefault="00A60343" w:rsidP="00A60343">
      <w:pPr>
        <w:jc w:val="center"/>
        <w:rPr>
          <w:b/>
          <w:sz w:val="28"/>
          <w:szCs w:val="28"/>
        </w:rPr>
      </w:pPr>
      <w:r w:rsidRPr="0070468D">
        <w:rPr>
          <w:b/>
          <w:sz w:val="28"/>
          <w:szCs w:val="28"/>
        </w:rPr>
        <w:t xml:space="preserve">Інформація про наміри встановлення тарифів на послуги з управління побутовими відходами, </w:t>
      </w:r>
      <w:r w:rsidR="004F0A36" w:rsidRPr="0070468D">
        <w:rPr>
          <w:b/>
          <w:sz w:val="28"/>
          <w:szCs w:val="28"/>
        </w:rPr>
        <w:t>з урахуванням операцій</w:t>
      </w:r>
      <w:r w:rsidRPr="0070468D">
        <w:rPr>
          <w:b/>
          <w:sz w:val="28"/>
          <w:szCs w:val="28"/>
        </w:rPr>
        <w:t xml:space="preserve"> </w:t>
      </w:r>
      <w:r w:rsidR="004F0A36" w:rsidRPr="0070468D">
        <w:rPr>
          <w:b/>
          <w:sz w:val="28"/>
          <w:szCs w:val="28"/>
        </w:rPr>
        <w:t xml:space="preserve">збирання, </w:t>
      </w:r>
      <w:r w:rsidR="00383D1F" w:rsidRPr="0070468D">
        <w:rPr>
          <w:b/>
          <w:sz w:val="28"/>
          <w:szCs w:val="28"/>
        </w:rPr>
        <w:t>пере</w:t>
      </w:r>
      <w:r w:rsidRPr="0070468D">
        <w:rPr>
          <w:b/>
          <w:sz w:val="28"/>
          <w:szCs w:val="28"/>
        </w:rPr>
        <w:t>везення</w:t>
      </w:r>
      <w:r w:rsidR="004F0A36" w:rsidRPr="0070468D">
        <w:rPr>
          <w:b/>
          <w:sz w:val="28"/>
          <w:szCs w:val="28"/>
        </w:rPr>
        <w:t xml:space="preserve"> та оброблення </w:t>
      </w:r>
      <w:r w:rsidRPr="0070468D">
        <w:rPr>
          <w:b/>
          <w:sz w:val="28"/>
          <w:szCs w:val="28"/>
        </w:rPr>
        <w:t>побутових відходів</w:t>
      </w:r>
    </w:p>
    <w:p w14:paraId="3D370543" w14:textId="77777777" w:rsidR="00A60343" w:rsidRPr="0070468D" w:rsidRDefault="00A60343" w:rsidP="00A60343">
      <w:pPr>
        <w:jc w:val="center"/>
        <w:rPr>
          <w:b/>
          <w:sz w:val="28"/>
          <w:szCs w:val="28"/>
        </w:rPr>
      </w:pPr>
      <w:r w:rsidRPr="0070468D">
        <w:rPr>
          <w:b/>
          <w:sz w:val="28"/>
          <w:szCs w:val="28"/>
        </w:rPr>
        <w:t>комунального підприємства «АТП-2528» Чернігівської міської ради</w:t>
      </w:r>
    </w:p>
    <w:p w14:paraId="02D1BACD" w14:textId="1914A2F8" w:rsidR="00A60343" w:rsidRPr="0070468D" w:rsidRDefault="00A60343" w:rsidP="00A60343">
      <w:pPr>
        <w:ind w:firstLine="708"/>
        <w:jc w:val="both"/>
        <w:rPr>
          <w:color w:val="000000"/>
          <w:sz w:val="28"/>
          <w:szCs w:val="28"/>
        </w:rPr>
      </w:pPr>
      <w:r w:rsidRPr="0070468D">
        <w:rPr>
          <w:color w:val="000000"/>
          <w:sz w:val="28"/>
          <w:szCs w:val="28"/>
        </w:rPr>
        <w:t xml:space="preserve">На виконання Закону України «Про </w:t>
      </w:r>
      <w:r w:rsidR="004F0A36" w:rsidRPr="0070468D">
        <w:rPr>
          <w:color w:val="000000"/>
          <w:sz w:val="28"/>
          <w:szCs w:val="28"/>
        </w:rPr>
        <w:t>управління відходами</w:t>
      </w:r>
      <w:r w:rsidRPr="0070468D">
        <w:rPr>
          <w:color w:val="000000"/>
          <w:sz w:val="28"/>
          <w:szCs w:val="28"/>
        </w:rPr>
        <w:t>», Постанови КМ України від 26.0</w:t>
      </w:r>
      <w:r w:rsidR="00383D1F" w:rsidRPr="0070468D">
        <w:rPr>
          <w:color w:val="000000"/>
          <w:sz w:val="28"/>
          <w:szCs w:val="28"/>
        </w:rPr>
        <w:t>9</w:t>
      </w:r>
      <w:r w:rsidRPr="0070468D">
        <w:rPr>
          <w:color w:val="000000"/>
          <w:sz w:val="28"/>
          <w:szCs w:val="28"/>
        </w:rPr>
        <w:t>.20</w:t>
      </w:r>
      <w:r w:rsidR="00383D1F" w:rsidRPr="0070468D">
        <w:rPr>
          <w:color w:val="000000"/>
          <w:sz w:val="28"/>
          <w:szCs w:val="28"/>
        </w:rPr>
        <w:t>23</w:t>
      </w:r>
      <w:r w:rsidRPr="0070468D">
        <w:rPr>
          <w:color w:val="000000"/>
          <w:sz w:val="28"/>
          <w:szCs w:val="28"/>
        </w:rPr>
        <w:t xml:space="preserve"> р. № 10</w:t>
      </w:r>
      <w:r w:rsidR="00383D1F" w:rsidRPr="0070468D">
        <w:rPr>
          <w:color w:val="000000"/>
          <w:sz w:val="28"/>
          <w:szCs w:val="28"/>
        </w:rPr>
        <w:t>31</w:t>
      </w:r>
      <w:r w:rsidRPr="0070468D">
        <w:rPr>
          <w:color w:val="000000"/>
          <w:sz w:val="28"/>
          <w:szCs w:val="28"/>
        </w:rPr>
        <w:t xml:space="preserve">, керуючись наказом Міністерства регіонального розвитку, будівництва та житлово-комунального господарства України від 05 червня 2018 року № 130 «Про затвердження Порядку інформування споживачів про намір зміни цін/тарифів на комунальні послуги з обґрунтуванням такої необхідності», доводимо до відома споживачів намір </w:t>
      </w:r>
      <w:r w:rsidR="00383D1F" w:rsidRPr="0070468D">
        <w:rPr>
          <w:color w:val="000000"/>
          <w:sz w:val="28"/>
          <w:szCs w:val="28"/>
        </w:rPr>
        <w:t>встановити</w:t>
      </w:r>
      <w:r w:rsidRPr="0070468D">
        <w:rPr>
          <w:color w:val="000000"/>
          <w:sz w:val="28"/>
          <w:szCs w:val="28"/>
        </w:rPr>
        <w:t xml:space="preserve"> тарифи на послуги з </w:t>
      </w:r>
      <w:r w:rsidR="00383D1F" w:rsidRPr="0070468D">
        <w:rPr>
          <w:color w:val="000000"/>
          <w:sz w:val="28"/>
          <w:szCs w:val="28"/>
        </w:rPr>
        <w:t>управління</w:t>
      </w:r>
      <w:r w:rsidRPr="0070468D">
        <w:rPr>
          <w:color w:val="000000"/>
          <w:sz w:val="28"/>
          <w:szCs w:val="28"/>
        </w:rPr>
        <w:t xml:space="preserve"> відходами, </w:t>
      </w:r>
      <w:r w:rsidR="00383D1F" w:rsidRPr="0070468D">
        <w:rPr>
          <w:color w:val="000000"/>
          <w:sz w:val="28"/>
          <w:szCs w:val="28"/>
        </w:rPr>
        <w:t>з урахуванням операцій</w:t>
      </w:r>
      <w:r w:rsidRPr="0070468D">
        <w:rPr>
          <w:color w:val="000000"/>
          <w:sz w:val="28"/>
          <w:szCs w:val="28"/>
        </w:rPr>
        <w:t xml:space="preserve"> </w:t>
      </w:r>
      <w:r w:rsidR="00383D1F" w:rsidRPr="0070468D">
        <w:rPr>
          <w:color w:val="000000"/>
          <w:sz w:val="28"/>
          <w:szCs w:val="28"/>
        </w:rPr>
        <w:t>збирання, пере</w:t>
      </w:r>
      <w:r w:rsidRPr="0070468D">
        <w:rPr>
          <w:color w:val="000000"/>
          <w:sz w:val="28"/>
          <w:szCs w:val="28"/>
        </w:rPr>
        <w:t>везення</w:t>
      </w:r>
      <w:r w:rsidR="00383D1F" w:rsidRPr="0070468D">
        <w:rPr>
          <w:color w:val="000000"/>
          <w:sz w:val="28"/>
          <w:szCs w:val="28"/>
        </w:rPr>
        <w:t xml:space="preserve"> та</w:t>
      </w:r>
      <w:r w:rsidRPr="0070468D">
        <w:rPr>
          <w:color w:val="000000"/>
          <w:sz w:val="28"/>
          <w:szCs w:val="28"/>
        </w:rPr>
        <w:t xml:space="preserve"> </w:t>
      </w:r>
      <w:r w:rsidR="00383D1F" w:rsidRPr="0070468D">
        <w:rPr>
          <w:color w:val="000000"/>
          <w:sz w:val="28"/>
          <w:szCs w:val="28"/>
        </w:rPr>
        <w:t>обробле</w:t>
      </w:r>
      <w:r w:rsidRPr="0070468D">
        <w:rPr>
          <w:color w:val="000000"/>
          <w:sz w:val="28"/>
          <w:szCs w:val="28"/>
        </w:rPr>
        <w:t>ння побутових відходів</w:t>
      </w:r>
      <w:r w:rsidR="00383D1F" w:rsidRPr="0070468D">
        <w:rPr>
          <w:color w:val="000000"/>
          <w:sz w:val="28"/>
          <w:szCs w:val="28"/>
        </w:rPr>
        <w:t>, за категоріями відходів</w:t>
      </w:r>
    </w:p>
    <w:p w14:paraId="42F80DAF" w14:textId="77777777" w:rsidR="00A60343" w:rsidRPr="0070468D" w:rsidRDefault="00A60343" w:rsidP="00A60343">
      <w:pPr>
        <w:jc w:val="both"/>
        <w:rPr>
          <w:color w:val="000000"/>
          <w:sz w:val="28"/>
          <w:szCs w:val="28"/>
        </w:rPr>
      </w:pPr>
    </w:p>
    <w:tbl>
      <w:tblPr>
        <w:tblW w:w="5383" w:type="pct"/>
        <w:jc w:val="center"/>
        <w:tblLayout w:type="fixed"/>
        <w:tblLook w:val="00A0" w:firstRow="1" w:lastRow="0" w:firstColumn="1" w:lastColumn="0" w:noHBand="0" w:noVBand="0"/>
      </w:tblPr>
      <w:tblGrid>
        <w:gridCol w:w="1777"/>
        <w:gridCol w:w="1149"/>
        <w:gridCol w:w="750"/>
        <w:gridCol w:w="692"/>
        <w:gridCol w:w="728"/>
        <w:gridCol w:w="851"/>
        <w:gridCol w:w="1280"/>
        <w:gridCol w:w="1280"/>
        <w:gridCol w:w="1553"/>
      </w:tblGrid>
      <w:tr w:rsidR="00957DA2" w:rsidRPr="0070468D" w14:paraId="08C8B790" w14:textId="77777777" w:rsidTr="0044172F">
        <w:trPr>
          <w:trHeight w:val="827"/>
          <w:jc w:val="center"/>
        </w:trPr>
        <w:tc>
          <w:tcPr>
            <w:tcW w:w="883" w:type="pct"/>
            <w:tcBorders>
              <w:top w:val="single" w:sz="4" w:space="0" w:color="auto"/>
              <w:left w:val="single" w:sz="4" w:space="0" w:color="auto"/>
              <w:right w:val="single" w:sz="4" w:space="0" w:color="auto"/>
            </w:tcBorders>
            <w:noWrap/>
            <w:vAlign w:val="bottom"/>
          </w:tcPr>
          <w:p w14:paraId="4131C9CB" w14:textId="15FD637A" w:rsidR="00957DA2" w:rsidRPr="0070468D" w:rsidRDefault="00957DA2" w:rsidP="007D62F5">
            <w:pPr>
              <w:rPr>
                <w:lang w:eastAsia="uk-UA"/>
              </w:rPr>
            </w:pPr>
          </w:p>
        </w:tc>
        <w:tc>
          <w:tcPr>
            <w:tcW w:w="571" w:type="pct"/>
            <w:tcBorders>
              <w:top w:val="single" w:sz="4" w:space="0" w:color="auto"/>
              <w:left w:val="single" w:sz="4" w:space="0" w:color="auto"/>
              <w:bottom w:val="single" w:sz="4" w:space="0" w:color="auto"/>
              <w:right w:val="single" w:sz="4" w:space="0" w:color="auto"/>
            </w:tcBorders>
            <w:vAlign w:val="center"/>
          </w:tcPr>
          <w:p w14:paraId="4B575DE7" w14:textId="75C8E55F" w:rsidR="00957DA2" w:rsidRPr="0070468D" w:rsidRDefault="00957DA2" w:rsidP="005A1728">
            <w:pPr>
              <w:ind w:left="-76" w:right="-62"/>
              <w:jc w:val="center"/>
              <w:rPr>
                <w:lang w:eastAsia="uk-UA"/>
              </w:rPr>
            </w:pPr>
            <w:r w:rsidRPr="0070468D">
              <w:rPr>
                <w:lang w:eastAsia="uk-UA"/>
              </w:rPr>
              <w:t xml:space="preserve">Збирання </w:t>
            </w:r>
            <w:r>
              <w:rPr>
                <w:lang w:eastAsia="uk-UA"/>
              </w:rPr>
              <w:t>побутових відходів</w:t>
            </w:r>
          </w:p>
        </w:tc>
        <w:tc>
          <w:tcPr>
            <w:tcW w:w="2773" w:type="pct"/>
            <w:gridSpan w:val="6"/>
            <w:tcBorders>
              <w:top w:val="single" w:sz="4" w:space="0" w:color="auto"/>
              <w:left w:val="single" w:sz="4" w:space="0" w:color="auto"/>
              <w:bottom w:val="single" w:sz="4" w:space="0" w:color="auto"/>
              <w:right w:val="single" w:sz="4" w:space="0" w:color="auto"/>
            </w:tcBorders>
            <w:vAlign w:val="center"/>
          </w:tcPr>
          <w:p w14:paraId="59619587" w14:textId="7949737D" w:rsidR="00957DA2" w:rsidRDefault="00957DA2" w:rsidP="007D62F5">
            <w:pPr>
              <w:jc w:val="center"/>
              <w:rPr>
                <w:lang w:eastAsia="uk-UA"/>
              </w:rPr>
            </w:pPr>
            <w:r>
              <w:rPr>
                <w:lang w:eastAsia="uk-UA"/>
              </w:rPr>
              <w:t>П</w:t>
            </w:r>
            <w:r w:rsidRPr="0070468D">
              <w:rPr>
                <w:lang w:eastAsia="uk-UA"/>
              </w:rPr>
              <w:t>еревезення</w:t>
            </w:r>
            <w:r>
              <w:rPr>
                <w:lang w:eastAsia="uk-UA"/>
              </w:rPr>
              <w:t xml:space="preserve"> побутових відходів, </w:t>
            </w:r>
          </w:p>
          <w:p w14:paraId="31872BB2" w14:textId="529FD956" w:rsidR="00957DA2" w:rsidRPr="0070468D" w:rsidRDefault="00957DA2" w:rsidP="007D62F5">
            <w:pPr>
              <w:jc w:val="center"/>
              <w:rPr>
                <w:lang w:eastAsia="uk-UA"/>
              </w:rPr>
            </w:pPr>
            <w:r>
              <w:rPr>
                <w:lang w:eastAsia="uk-UA"/>
              </w:rPr>
              <w:t>за видами:</w:t>
            </w:r>
          </w:p>
        </w:tc>
        <w:tc>
          <w:tcPr>
            <w:tcW w:w="773" w:type="pct"/>
            <w:tcBorders>
              <w:top w:val="single" w:sz="4" w:space="0" w:color="auto"/>
              <w:left w:val="nil"/>
              <w:bottom w:val="single" w:sz="4" w:space="0" w:color="auto"/>
              <w:right w:val="single" w:sz="4" w:space="0" w:color="auto"/>
            </w:tcBorders>
            <w:noWrap/>
            <w:vAlign w:val="center"/>
          </w:tcPr>
          <w:p w14:paraId="16D87337" w14:textId="1CD64ED7" w:rsidR="00957DA2" w:rsidRPr="0070468D" w:rsidRDefault="00957DA2" w:rsidP="0044172F">
            <w:pPr>
              <w:jc w:val="center"/>
              <w:rPr>
                <w:lang w:eastAsia="uk-UA"/>
              </w:rPr>
            </w:pPr>
            <w:r w:rsidRPr="0070468D">
              <w:rPr>
                <w:lang w:eastAsia="uk-UA"/>
              </w:rPr>
              <w:t>Оброблення (</w:t>
            </w:r>
            <w:r w:rsidRPr="00C17D29">
              <w:rPr>
                <w:color w:val="FF0000"/>
                <w:lang w:eastAsia="uk-UA"/>
              </w:rPr>
              <w:t>видалення</w:t>
            </w:r>
            <w:r w:rsidRPr="0070468D">
              <w:rPr>
                <w:lang w:eastAsia="uk-UA"/>
              </w:rPr>
              <w:t>)</w:t>
            </w:r>
            <w:r>
              <w:rPr>
                <w:lang w:eastAsia="uk-UA"/>
              </w:rPr>
              <w:t>побутових відходів</w:t>
            </w:r>
          </w:p>
        </w:tc>
      </w:tr>
      <w:tr w:rsidR="00985AAC" w:rsidRPr="0070468D" w14:paraId="2B36A49F" w14:textId="77777777" w:rsidTr="0044172F">
        <w:trPr>
          <w:trHeight w:val="562"/>
          <w:jc w:val="center"/>
        </w:trPr>
        <w:tc>
          <w:tcPr>
            <w:tcW w:w="883" w:type="pct"/>
            <w:tcBorders>
              <w:top w:val="nil"/>
              <w:left w:val="single" w:sz="4" w:space="0" w:color="auto"/>
              <w:right w:val="single" w:sz="4" w:space="0" w:color="auto"/>
            </w:tcBorders>
            <w:noWrap/>
            <w:vAlign w:val="center"/>
          </w:tcPr>
          <w:p w14:paraId="28C0A06C" w14:textId="77777777" w:rsidR="00985AAC" w:rsidRPr="0070468D" w:rsidRDefault="00985AAC" w:rsidP="007D62F5">
            <w:pPr>
              <w:rPr>
                <w:lang w:eastAsia="uk-UA"/>
              </w:rPr>
            </w:pPr>
          </w:p>
        </w:tc>
        <w:tc>
          <w:tcPr>
            <w:tcW w:w="2709" w:type="pct"/>
            <w:gridSpan w:val="6"/>
            <w:tcBorders>
              <w:top w:val="single" w:sz="4" w:space="0" w:color="auto"/>
              <w:left w:val="single" w:sz="4" w:space="0" w:color="auto"/>
              <w:bottom w:val="single" w:sz="4" w:space="0" w:color="auto"/>
              <w:right w:val="single" w:sz="4" w:space="0" w:color="auto"/>
            </w:tcBorders>
            <w:vAlign w:val="center"/>
          </w:tcPr>
          <w:p w14:paraId="0C5FBDD3" w14:textId="480B1C07" w:rsidR="00985AAC" w:rsidRDefault="00985AAC" w:rsidP="005006A8">
            <w:pPr>
              <w:jc w:val="center"/>
              <w:rPr>
                <w:lang w:eastAsia="uk-UA"/>
              </w:rPr>
            </w:pPr>
            <w:r>
              <w:rPr>
                <w:lang w:eastAsia="uk-UA"/>
              </w:rPr>
              <w:t>змішані побутові відходи</w:t>
            </w:r>
          </w:p>
        </w:tc>
        <w:tc>
          <w:tcPr>
            <w:tcW w:w="636" w:type="pct"/>
            <w:tcBorders>
              <w:top w:val="single" w:sz="4" w:space="0" w:color="auto"/>
              <w:left w:val="single" w:sz="4" w:space="0" w:color="auto"/>
              <w:bottom w:val="single" w:sz="4" w:space="0" w:color="auto"/>
              <w:right w:val="single" w:sz="4" w:space="0" w:color="auto"/>
            </w:tcBorders>
            <w:noWrap/>
            <w:vAlign w:val="center"/>
          </w:tcPr>
          <w:p w14:paraId="3060B460" w14:textId="6B112906" w:rsidR="00985AAC" w:rsidRPr="0070468D" w:rsidRDefault="00985AAC" w:rsidP="005006A8">
            <w:pPr>
              <w:jc w:val="center"/>
              <w:rPr>
                <w:lang w:eastAsia="uk-UA"/>
              </w:rPr>
            </w:pPr>
            <w:r>
              <w:rPr>
                <w:lang w:eastAsia="uk-UA"/>
              </w:rPr>
              <w:t>велико габаритні</w:t>
            </w:r>
          </w:p>
        </w:tc>
        <w:tc>
          <w:tcPr>
            <w:tcW w:w="773" w:type="pct"/>
            <w:tcBorders>
              <w:top w:val="single" w:sz="4" w:space="0" w:color="auto"/>
              <w:left w:val="nil"/>
              <w:right w:val="single" w:sz="4" w:space="0" w:color="auto"/>
            </w:tcBorders>
            <w:noWrap/>
            <w:vAlign w:val="center"/>
          </w:tcPr>
          <w:p w14:paraId="08F49CF9" w14:textId="77777777" w:rsidR="00985AAC" w:rsidRPr="0070468D" w:rsidRDefault="00985AAC" w:rsidP="007D62F5">
            <w:pPr>
              <w:jc w:val="center"/>
              <w:rPr>
                <w:lang w:eastAsia="uk-UA"/>
              </w:rPr>
            </w:pPr>
          </w:p>
        </w:tc>
      </w:tr>
      <w:tr w:rsidR="0044172F" w:rsidRPr="0070468D" w14:paraId="2381879B" w14:textId="77777777" w:rsidTr="0044172F">
        <w:trPr>
          <w:trHeight w:val="746"/>
          <w:jc w:val="center"/>
        </w:trPr>
        <w:tc>
          <w:tcPr>
            <w:tcW w:w="883" w:type="pct"/>
            <w:tcBorders>
              <w:top w:val="nil"/>
              <w:left w:val="single" w:sz="4" w:space="0" w:color="auto"/>
              <w:right w:val="single" w:sz="4" w:space="0" w:color="auto"/>
            </w:tcBorders>
            <w:noWrap/>
            <w:vAlign w:val="center"/>
          </w:tcPr>
          <w:p w14:paraId="5C333804" w14:textId="77777777" w:rsidR="0044172F" w:rsidRPr="0070468D" w:rsidRDefault="0044172F" w:rsidP="007D62F5">
            <w:pPr>
              <w:rPr>
                <w:lang w:eastAsia="uk-UA"/>
              </w:rPr>
            </w:pPr>
          </w:p>
        </w:tc>
        <w:tc>
          <w:tcPr>
            <w:tcW w:w="1650" w:type="pct"/>
            <w:gridSpan w:val="4"/>
            <w:tcBorders>
              <w:top w:val="single" w:sz="4" w:space="0" w:color="auto"/>
              <w:left w:val="single" w:sz="4" w:space="0" w:color="auto"/>
              <w:bottom w:val="single" w:sz="4" w:space="0" w:color="auto"/>
              <w:right w:val="single" w:sz="4" w:space="0" w:color="auto"/>
            </w:tcBorders>
            <w:vAlign w:val="center"/>
          </w:tcPr>
          <w:p w14:paraId="60B02B86" w14:textId="728D2761" w:rsidR="0044172F" w:rsidRPr="0070468D" w:rsidRDefault="0044172F" w:rsidP="007D62F5">
            <w:pPr>
              <w:jc w:val="center"/>
              <w:rPr>
                <w:lang w:eastAsia="uk-UA"/>
              </w:rPr>
            </w:pPr>
            <w:r>
              <w:rPr>
                <w:lang w:eastAsia="uk-UA"/>
              </w:rPr>
              <w:t>з контейнерів ємністю:</w:t>
            </w:r>
          </w:p>
        </w:tc>
        <w:tc>
          <w:tcPr>
            <w:tcW w:w="423" w:type="pct"/>
            <w:vMerge w:val="restart"/>
            <w:tcBorders>
              <w:top w:val="single" w:sz="4" w:space="0" w:color="auto"/>
              <w:left w:val="single" w:sz="4" w:space="0" w:color="auto"/>
              <w:right w:val="single" w:sz="4" w:space="0" w:color="auto"/>
            </w:tcBorders>
          </w:tcPr>
          <w:p w14:paraId="61828DAB" w14:textId="5AA1EBDE" w:rsidR="0044172F" w:rsidRPr="0070468D" w:rsidRDefault="0044172F" w:rsidP="00985AAC">
            <w:pPr>
              <w:ind w:left="-181" w:right="-143"/>
              <w:jc w:val="center"/>
              <w:rPr>
                <w:lang w:eastAsia="uk-UA"/>
              </w:rPr>
            </w:pPr>
            <w:r>
              <w:rPr>
                <w:lang w:eastAsia="uk-UA"/>
              </w:rPr>
              <w:t xml:space="preserve">без </w:t>
            </w:r>
            <w:proofErr w:type="spellStart"/>
            <w:r>
              <w:rPr>
                <w:lang w:eastAsia="uk-UA"/>
              </w:rPr>
              <w:t>контей</w:t>
            </w:r>
            <w:proofErr w:type="spellEnd"/>
            <w:r>
              <w:rPr>
                <w:lang w:eastAsia="uk-UA"/>
              </w:rPr>
              <w:t xml:space="preserve"> </w:t>
            </w:r>
            <w:proofErr w:type="spellStart"/>
            <w:r>
              <w:rPr>
                <w:lang w:eastAsia="uk-UA"/>
              </w:rPr>
              <w:t>нерів</w:t>
            </w:r>
            <w:proofErr w:type="spellEnd"/>
          </w:p>
        </w:tc>
        <w:tc>
          <w:tcPr>
            <w:tcW w:w="636" w:type="pct"/>
            <w:vMerge w:val="restart"/>
            <w:tcBorders>
              <w:top w:val="single" w:sz="4" w:space="0" w:color="auto"/>
              <w:left w:val="single" w:sz="4" w:space="0" w:color="auto"/>
              <w:right w:val="single" w:sz="4" w:space="0" w:color="auto"/>
            </w:tcBorders>
          </w:tcPr>
          <w:p w14:paraId="768D7859" w14:textId="07F8E21A" w:rsidR="0044172F" w:rsidRPr="0070468D" w:rsidRDefault="0044172F" w:rsidP="00985AAC">
            <w:pPr>
              <w:ind w:left="-112" w:right="-108"/>
              <w:jc w:val="center"/>
              <w:rPr>
                <w:lang w:eastAsia="uk-UA"/>
              </w:rPr>
            </w:pPr>
            <w:r>
              <w:rPr>
                <w:lang w:eastAsia="uk-UA"/>
              </w:rPr>
              <w:t>з переносних сміттєзбірників</w:t>
            </w:r>
          </w:p>
        </w:tc>
        <w:tc>
          <w:tcPr>
            <w:tcW w:w="636" w:type="pct"/>
            <w:vMerge w:val="restart"/>
            <w:tcBorders>
              <w:top w:val="single" w:sz="4" w:space="0" w:color="auto"/>
              <w:left w:val="single" w:sz="4" w:space="0" w:color="auto"/>
              <w:right w:val="single" w:sz="4" w:space="0" w:color="auto"/>
            </w:tcBorders>
            <w:noWrap/>
            <w:vAlign w:val="center"/>
          </w:tcPr>
          <w:p w14:paraId="6881B8BA" w14:textId="5001F7D5" w:rsidR="0044172F" w:rsidRPr="0070468D" w:rsidRDefault="0044172F" w:rsidP="007D62F5">
            <w:pPr>
              <w:jc w:val="center"/>
              <w:rPr>
                <w:lang w:eastAsia="uk-UA"/>
              </w:rPr>
            </w:pPr>
          </w:p>
        </w:tc>
        <w:tc>
          <w:tcPr>
            <w:tcW w:w="773" w:type="pct"/>
            <w:tcBorders>
              <w:left w:val="single" w:sz="4" w:space="0" w:color="auto"/>
              <w:right w:val="single" w:sz="4" w:space="0" w:color="auto"/>
            </w:tcBorders>
            <w:noWrap/>
            <w:vAlign w:val="center"/>
          </w:tcPr>
          <w:p w14:paraId="5398AF14" w14:textId="77777777" w:rsidR="0044172F" w:rsidRPr="0070468D" w:rsidRDefault="0044172F" w:rsidP="007D62F5">
            <w:pPr>
              <w:jc w:val="center"/>
              <w:rPr>
                <w:lang w:eastAsia="uk-UA"/>
              </w:rPr>
            </w:pPr>
          </w:p>
        </w:tc>
      </w:tr>
      <w:tr w:rsidR="0044172F" w:rsidRPr="0070468D" w14:paraId="5159DDEC" w14:textId="77777777" w:rsidTr="0044172F">
        <w:trPr>
          <w:trHeight w:val="544"/>
          <w:jc w:val="center"/>
        </w:trPr>
        <w:tc>
          <w:tcPr>
            <w:tcW w:w="883" w:type="pct"/>
            <w:tcBorders>
              <w:top w:val="nil"/>
              <w:left w:val="single" w:sz="4" w:space="0" w:color="auto"/>
              <w:bottom w:val="single" w:sz="4" w:space="0" w:color="auto"/>
              <w:right w:val="single" w:sz="4" w:space="0" w:color="auto"/>
            </w:tcBorders>
            <w:noWrap/>
            <w:vAlign w:val="center"/>
          </w:tcPr>
          <w:p w14:paraId="40FA5FE9" w14:textId="77777777" w:rsidR="0044172F" w:rsidRPr="0070468D" w:rsidRDefault="0044172F" w:rsidP="007D62F5">
            <w:pPr>
              <w:rPr>
                <w:lang w:eastAsia="uk-UA"/>
              </w:rPr>
            </w:pPr>
          </w:p>
        </w:tc>
        <w:tc>
          <w:tcPr>
            <w:tcW w:w="571" w:type="pct"/>
            <w:tcBorders>
              <w:top w:val="single" w:sz="4" w:space="0" w:color="auto"/>
              <w:left w:val="single" w:sz="4" w:space="0" w:color="auto"/>
              <w:bottom w:val="single" w:sz="4" w:space="0" w:color="auto"/>
              <w:right w:val="single" w:sz="4" w:space="0" w:color="auto"/>
            </w:tcBorders>
            <w:vAlign w:val="center"/>
          </w:tcPr>
          <w:p w14:paraId="5812EF24" w14:textId="77777777" w:rsidR="0044172F" w:rsidRDefault="0044172F" w:rsidP="007D62F5">
            <w:pPr>
              <w:jc w:val="center"/>
              <w:rPr>
                <w:lang w:eastAsia="uk-UA"/>
              </w:rPr>
            </w:pPr>
            <w:r>
              <w:rPr>
                <w:lang w:eastAsia="uk-UA"/>
              </w:rPr>
              <w:t xml:space="preserve">3,0 </w:t>
            </w:r>
          </w:p>
          <w:p w14:paraId="223BE1EE" w14:textId="03A124F1" w:rsidR="0044172F" w:rsidRDefault="0044172F" w:rsidP="007D62F5">
            <w:pPr>
              <w:jc w:val="center"/>
              <w:rPr>
                <w:lang w:eastAsia="uk-UA"/>
              </w:rPr>
            </w:pPr>
            <w:r>
              <w:rPr>
                <w:lang w:eastAsia="uk-UA"/>
              </w:rPr>
              <w:t>м3</w:t>
            </w:r>
          </w:p>
        </w:tc>
        <w:tc>
          <w:tcPr>
            <w:tcW w:w="373" w:type="pct"/>
            <w:tcBorders>
              <w:top w:val="single" w:sz="4" w:space="0" w:color="auto"/>
              <w:left w:val="single" w:sz="4" w:space="0" w:color="auto"/>
              <w:bottom w:val="single" w:sz="4" w:space="0" w:color="auto"/>
              <w:right w:val="single" w:sz="4" w:space="0" w:color="auto"/>
            </w:tcBorders>
            <w:noWrap/>
            <w:vAlign w:val="center"/>
          </w:tcPr>
          <w:p w14:paraId="603E545F" w14:textId="4AC27CD5" w:rsidR="0044172F" w:rsidRPr="0070468D" w:rsidRDefault="0044172F" w:rsidP="007D62F5">
            <w:pPr>
              <w:jc w:val="center"/>
              <w:rPr>
                <w:lang w:eastAsia="uk-UA"/>
              </w:rPr>
            </w:pPr>
            <w:r>
              <w:rPr>
                <w:lang w:eastAsia="uk-UA"/>
              </w:rPr>
              <w:t>3,0 м3</w:t>
            </w:r>
          </w:p>
        </w:tc>
        <w:tc>
          <w:tcPr>
            <w:tcW w:w="344" w:type="pct"/>
            <w:tcBorders>
              <w:top w:val="single" w:sz="4" w:space="0" w:color="auto"/>
              <w:left w:val="single" w:sz="4" w:space="0" w:color="auto"/>
              <w:bottom w:val="single" w:sz="4" w:space="0" w:color="auto"/>
              <w:right w:val="single" w:sz="4" w:space="0" w:color="auto"/>
            </w:tcBorders>
            <w:vAlign w:val="center"/>
          </w:tcPr>
          <w:p w14:paraId="66BA68DA" w14:textId="77777777" w:rsidR="0044172F" w:rsidRDefault="0044172F" w:rsidP="00560891">
            <w:pPr>
              <w:ind w:left="-107" w:right="-106"/>
              <w:jc w:val="center"/>
              <w:rPr>
                <w:lang w:eastAsia="uk-UA"/>
              </w:rPr>
            </w:pPr>
            <w:r>
              <w:rPr>
                <w:lang w:eastAsia="uk-UA"/>
              </w:rPr>
              <w:t>1,1</w:t>
            </w:r>
          </w:p>
          <w:p w14:paraId="52379B79" w14:textId="18556ADC" w:rsidR="0044172F" w:rsidRPr="0070468D" w:rsidRDefault="0044172F" w:rsidP="00560891">
            <w:pPr>
              <w:ind w:left="-107" w:right="-106"/>
              <w:jc w:val="center"/>
              <w:rPr>
                <w:lang w:eastAsia="uk-UA"/>
              </w:rPr>
            </w:pPr>
            <w:r>
              <w:rPr>
                <w:lang w:eastAsia="uk-UA"/>
              </w:rPr>
              <w:t>м3</w:t>
            </w:r>
          </w:p>
        </w:tc>
        <w:tc>
          <w:tcPr>
            <w:tcW w:w="361" w:type="pct"/>
            <w:tcBorders>
              <w:top w:val="single" w:sz="4" w:space="0" w:color="auto"/>
              <w:left w:val="single" w:sz="4" w:space="0" w:color="auto"/>
              <w:bottom w:val="single" w:sz="4" w:space="0" w:color="auto"/>
              <w:right w:val="single" w:sz="4" w:space="0" w:color="auto"/>
            </w:tcBorders>
            <w:vAlign w:val="center"/>
          </w:tcPr>
          <w:p w14:paraId="3A545E6E" w14:textId="3DA5B18B" w:rsidR="0044172F" w:rsidRPr="0070468D" w:rsidRDefault="0044172F" w:rsidP="007D62F5">
            <w:pPr>
              <w:jc w:val="center"/>
              <w:rPr>
                <w:lang w:eastAsia="uk-UA"/>
              </w:rPr>
            </w:pPr>
            <w:r>
              <w:rPr>
                <w:lang w:eastAsia="uk-UA"/>
              </w:rPr>
              <w:t>0,75 м3</w:t>
            </w:r>
          </w:p>
        </w:tc>
        <w:tc>
          <w:tcPr>
            <w:tcW w:w="423" w:type="pct"/>
            <w:vMerge/>
            <w:tcBorders>
              <w:left w:val="single" w:sz="4" w:space="0" w:color="auto"/>
              <w:bottom w:val="single" w:sz="4" w:space="0" w:color="auto"/>
              <w:right w:val="single" w:sz="4" w:space="0" w:color="auto"/>
            </w:tcBorders>
            <w:vAlign w:val="center"/>
          </w:tcPr>
          <w:p w14:paraId="51B763E6" w14:textId="77777777" w:rsidR="0044172F" w:rsidRPr="0070468D" w:rsidRDefault="0044172F" w:rsidP="005A1728">
            <w:pPr>
              <w:ind w:left="-39" w:right="-51"/>
              <w:rPr>
                <w:lang w:eastAsia="uk-UA"/>
              </w:rPr>
            </w:pPr>
          </w:p>
        </w:tc>
        <w:tc>
          <w:tcPr>
            <w:tcW w:w="636" w:type="pct"/>
            <w:vMerge/>
            <w:tcBorders>
              <w:left w:val="single" w:sz="4" w:space="0" w:color="auto"/>
              <w:right w:val="single" w:sz="4" w:space="0" w:color="auto"/>
            </w:tcBorders>
          </w:tcPr>
          <w:p w14:paraId="697E2265" w14:textId="77777777" w:rsidR="0044172F" w:rsidRPr="0070468D" w:rsidRDefault="0044172F" w:rsidP="007D62F5">
            <w:pPr>
              <w:jc w:val="center"/>
              <w:rPr>
                <w:lang w:eastAsia="uk-UA"/>
              </w:rPr>
            </w:pPr>
          </w:p>
        </w:tc>
        <w:tc>
          <w:tcPr>
            <w:tcW w:w="636" w:type="pct"/>
            <w:vMerge/>
            <w:tcBorders>
              <w:left w:val="single" w:sz="4" w:space="0" w:color="auto"/>
              <w:bottom w:val="single" w:sz="4" w:space="0" w:color="auto"/>
              <w:right w:val="single" w:sz="4" w:space="0" w:color="auto"/>
            </w:tcBorders>
            <w:noWrap/>
            <w:vAlign w:val="center"/>
          </w:tcPr>
          <w:p w14:paraId="03804267" w14:textId="2C4EE399" w:rsidR="0044172F" w:rsidRPr="0070468D" w:rsidRDefault="0044172F" w:rsidP="007D62F5">
            <w:pPr>
              <w:jc w:val="center"/>
              <w:rPr>
                <w:lang w:eastAsia="uk-UA"/>
              </w:rPr>
            </w:pPr>
          </w:p>
        </w:tc>
        <w:tc>
          <w:tcPr>
            <w:tcW w:w="773" w:type="pct"/>
            <w:tcBorders>
              <w:left w:val="nil"/>
              <w:bottom w:val="single" w:sz="4" w:space="0" w:color="auto"/>
              <w:right w:val="single" w:sz="4" w:space="0" w:color="auto"/>
            </w:tcBorders>
            <w:noWrap/>
            <w:vAlign w:val="center"/>
          </w:tcPr>
          <w:p w14:paraId="6A8026B5" w14:textId="77777777" w:rsidR="0044172F" w:rsidRPr="0070468D" w:rsidRDefault="0044172F" w:rsidP="007D62F5">
            <w:pPr>
              <w:jc w:val="center"/>
              <w:rPr>
                <w:lang w:eastAsia="uk-UA"/>
              </w:rPr>
            </w:pPr>
          </w:p>
        </w:tc>
      </w:tr>
      <w:tr w:rsidR="00F329EB" w:rsidRPr="0070468D" w14:paraId="4FB7E894" w14:textId="77777777" w:rsidTr="0044172F">
        <w:trPr>
          <w:trHeight w:val="411"/>
          <w:jc w:val="center"/>
        </w:trPr>
        <w:tc>
          <w:tcPr>
            <w:tcW w:w="883" w:type="pct"/>
            <w:tcBorders>
              <w:top w:val="single" w:sz="4" w:space="0" w:color="auto"/>
              <w:left w:val="single" w:sz="4" w:space="0" w:color="auto"/>
              <w:bottom w:val="single" w:sz="4" w:space="0" w:color="auto"/>
              <w:right w:val="single" w:sz="4" w:space="0" w:color="auto"/>
            </w:tcBorders>
            <w:noWrap/>
            <w:vAlign w:val="center"/>
          </w:tcPr>
          <w:p w14:paraId="2899CB0D" w14:textId="52751921" w:rsidR="00F329EB" w:rsidRPr="0070468D" w:rsidRDefault="00F329EB" w:rsidP="005006A8">
            <w:pPr>
              <w:rPr>
                <w:lang w:eastAsia="uk-UA"/>
              </w:rPr>
            </w:pPr>
            <w:r w:rsidRPr="0070468D">
              <w:rPr>
                <w:lang w:eastAsia="uk-UA"/>
              </w:rPr>
              <w:t>Періодичність надання послуг</w:t>
            </w:r>
          </w:p>
        </w:tc>
        <w:tc>
          <w:tcPr>
            <w:tcW w:w="3344" w:type="pct"/>
            <w:gridSpan w:val="7"/>
            <w:tcBorders>
              <w:top w:val="single" w:sz="4" w:space="0" w:color="auto"/>
              <w:left w:val="nil"/>
              <w:bottom w:val="single" w:sz="4" w:space="0" w:color="auto"/>
              <w:right w:val="single" w:sz="4" w:space="0" w:color="auto"/>
            </w:tcBorders>
            <w:vAlign w:val="center"/>
          </w:tcPr>
          <w:p w14:paraId="691C19F7" w14:textId="26FA7747" w:rsidR="00F329EB" w:rsidRPr="0070468D" w:rsidRDefault="00F329EB" w:rsidP="007D62F5">
            <w:pPr>
              <w:jc w:val="center"/>
              <w:rPr>
                <w:lang w:eastAsia="uk-UA"/>
              </w:rPr>
            </w:pPr>
            <w:r>
              <w:rPr>
                <w:lang w:eastAsia="uk-UA"/>
              </w:rPr>
              <w:t>з</w:t>
            </w:r>
            <w:r w:rsidRPr="0070468D">
              <w:rPr>
                <w:lang w:eastAsia="uk-UA"/>
              </w:rPr>
              <w:t>гідно</w:t>
            </w:r>
            <w:r>
              <w:rPr>
                <w:lang w:eastAsia="uk-UA"/>
              </w:rPr>
              <w:t xml:space="preserve"> з </w:t>
            </w:r>
            <w:r w:rsidRPr="0070468D">
              <w:rPr>
                <w:lang w:eastAsia="uk-UA"/>
              </w:rPr>
              <w:t>графік</w:t>
            </w:r>
            <w:r>
              <w:rPr>
                <w:lang w:eastAsia="uk-UA"/>
              </w:rPr>
              <w:t>ами</w:t>
            </w:r>
          </w:p>
        </w:tc>
        <w:tc>
          <w:tcPr>
            <w:tcW w:w="773" w:type="pct"/>
            <w:tcBorders>
              <w:top w:val="single" w:sz="4" w:space="0" w:color="auto"/>
              <w:left w:val="nil"/>
              <w:bottom w:val="single" w:sz="4" w:space="0" w:color="auto"/>
              <w:right w:val="single" w:sz="4" w:space="0" w:color="auto"/>
            </w:tcBorders>
            <w:noWrap/>
            <w:vAlign w:val="center"/>
          </w:tcPr>
          <w:p w14:paraId="53C88C36" w14:textId="5100636D" w:rsidR="00F329EB" w:rsidRPr="0070468D" w:rsidRDefault="00F329EB" w:rsidP="005006A8">
            <w:pPr>
              <w:jc w:val="center"/>
              <w:rPr>
                <w:lang w:eastAsia="uk-UA"/>
              </w:rPr>
            </w:pPr>
            <w:r w:rsidRPr="0070468D">
              <w:rPr>
                <w:lang w:eastAsia="uk-UA"/>
              </w:rPr>
              <w:t>згідно з договорами</w:t>
            </w:r>
          </w:p>
        </w:tc>
      </w:tr>
      <w:tr w:rsidR="0044172F" w:rsidRPr="0070468D" w14:paraId="72322144" w14:textId="77777777" w:rsidTr="0044172F">
        <w:trPr>
          <w:trHeight w:val="630"/>
          <w:jc w:val="center"/>
        </w:trPr>
        <w:tc>
          <w:tcPr>
            <w:tcW w:w="883" w:type="pct"/>
            <w:tcBorders>
              <w:top w:val="nil"/>
              <w:left w:val="single" w:sz="4" w:space="0" w:color="auto"/>
              <w:bottom w:val="single" w:sz="4" w:space="0" w:color="auto"/>
              <w:right w:val="single" w:sz="4" w:space="0" w:color="auto"/>
            </w:tcBorders>
            <w:noWrap/>
            <w:vAlign w:val="center"/>
          </w:tcPr>
          <w:p w14:paraId="265C130F" w14:textId="2C3CB6AA" w:rsidR="00985AAC" w:rsidRPr="0070468D" w:rsidRDefault="00985AAC" w:rsidP="00BD34C9">
            <w:pPr>
              <w:ind w:right="-36"/>
              <w:rPr>
                <w:lang w:eastAsia="uk-UA"/>
              </w:rPr>
            </w:pPr>
            <w:r w:rsidRPr="0070468D">
              <w:rPr>
                <w:lang w:eastAsia="uk-UA"/>
              </w:rPr>
              <w:t>Всього собіва</w:t>
            </w:r>
            <w:r>
              <w:rPr>
                <w:lang w:eastAsia="uk-UA"/>
              </w:rPr>
              <w:t>р</w:t>
            </w:r>
            <w:r w:rsidRPr="0070468D">
              <w:rPr>
                <w:lang w:eastAsia="uk-UA"/>
              </w:rPr>
              <w:t>тість послуг,</w:t>
            </w:r>
            <w:r>
              <w:rPr>
                <w:lang w:eastAsia="uk-UA"/>
              </w:rPr>
              <w:t xml:space="preserve"> </w:t>
            </w:r>
            <w:r w:rsidRPr="0070468D">
              <w:rPr>
                <w:lang w:eastAsia="uk-UA"/>
              </w:rPr>
              <w:t>грн/1м³</w:t>
            </w:r>
          </w:p>
        </w:tc>
        <w:tc>
          <w:tcPr>
            <w:tcW w:w="571" w:type="pct"/>
            <w:tcBorders>
              <w:top w:val="single" w:sz="4" w:space="0" w:color="auto"/>
              <w:left w:val="nil"/>
              <w:bottom w:val="single" w:sz="4" w:space="0" w:color="auto"/>
              <w:right w:val="single" w:sz="4" w:space="0" w:color="auto"/>
            </w:tcBorders>
            <w:vAlign w:val="center"/>
          </w:tcPr>
          <w:p w14:paraId="26D3593C" w14:textId="216AF234" w:rsidR="00985AAC" w:rsidRPr="0070468D" w:rsidRDefault="00985AAC" w:rsidP="007D62F5">
            <w:pPr>
              <w:jc w:val="center"/>
              <w:rPr>
                <w:lang w:eastAsia="uk-UA"/>
              </w:rPr>
            </w:pPr>
            <w:r>
              <w:rPr>
                <w:lang w:eastAsia="uk-UA"/>
              </w:rPr>
              <w:t>50,00</w:t>
            </w:r>
          </w:p>
        </w:tc>
        <w:tc>
          <w:tcPr>
            <w:tcW w:w="373" w:type="pct"/>
            <w:tcBorders>
              <w:top w:val="nil"/>
              <w:left w:val="single" w:sz="4" w:space="0" w:color="auto"/>
              <w:bottom w:val="single" w:sz="4" w:space="0" w:color="auto"/>
              <w:right w:val="single" w:sz="4" w:space="0" w:color="auto"/>
            </w:tcBorders>
            <w:noWrap/>
            <w:vAlign w:val="center"/>
          </w:tcPr>
          <w:p w14:paraId="3553F606" w14:textId="6DBD293D" w:rsidR="00985AAC" w:rsidRPr="0070468D" w:rsidRDefault="00985AAC" w:rsidP="005A1728">
            <w:pPr>
              <w:ind w:left="-147" w:right="-162"/>
              <w:jc w:val="center"/>
              <w:rPr>
                <w:lang w:eastAsia="uk-UA"/>
              </w:rPr>
            </w:pPr>
            <w:r>
              <w:rPr>
                <w:lang w:eastAsia="uk-UA"/>
              </w:rPr>
              <w:t>62,20</w:t>
            </w:r>
          </w:p>
        </w:tc>
        <w:tc>
          <w:tcPr>
            <w:tcW w:w="344" w:type="pct"/>
            <w:tcBorders>
              <w:top w:val="single" w:sz="4" w:space="0" w:color="auto"/>
              <w:left w:val="nil"/>
              <w:bottom w:val="single" w:sz="4" w:space="0" w:color="auto"/>
              <w:right w:val="single" w:sz="4" w:space="0" w:color="auto"/>
            </w:tcBorders>
            <w:vAlign w:val="center"/>
          </w:tcPr>
          <w:p w14:paraId="5491E85A" w14:textId="12A7DA3B" w:rsidR="00985AAC" w:rsidRPr="0070468D" w:rsidRDefault="00985AAC" w:rsidP="00560891">
            <w:pPr>
              <w:ind w:left="-107" w:right="-105"/>
              <w:jc w:val="center"/>
              <w:rPr>
                <w:lang w:eastAsia="uk-UA"/>
              </w:rPr>
            </w:pPr>
            <w:r>
              <w:rPr>
                <w:lang w:eastAsia="uk-UA"/>
              </w:rPr>
              <w:t>114,05</w:t>
            </w:r>
          </w:p>
        </w:tc>
        <w:tc>
          <w:tcPr>
            <w:tcW w:w="361" w:type="pct"/>
            <w:tcBorders>
              <w:top w:val="single" w:sz="4" w:space="0" w:color="auto"/>
              <w:left w:val="single" w:sz="4" w:space="0" w:color="auto"/>
              <w:bottom w:val="single" w:sz="4" w:space="0" w:color="auto"/>
              <w:right w:val="single" w:sz="4" w:space="0" w:color="auto"/>
            </w:tcBorders>
            <w:vAlign w:val="center"/>
          </w:tcPr>
          <w:p w14:paraId="389C3316" w14:textId="4E18FC4F" w:rsidR="00985AAC" w:rsidRPr="0070468D" w:rsidRDefault="00985AAC" w:rsidP="00560891">
            <w:pPr>
              <w:ind w:left="-111" w:right="-110"/>
              <w:jc w:val="center"/>
              <w:rPr>
                <w:lang w:eastAsia="uk-UA"/>
              </w:rPr>
            </w:pPr>
            <w:r>
              <w:rPr>
                <w:lang w:eastAsia="uk-UA"/>
              </w:rPr>
              <w:t>118,25</w:t>
            </w:r>
          </w:p>
        </w:tc>
        <w:tc>
          <w:tcPr>
            <w:tcW w:w="423" w:type="pct"/>
            <w:tcBorders>
              <w:top w:val="single" w:sz="4" w:space="0" w:color="auto"/>
              <w:left w:val="single" w:sz="4" w:space="0" w:color="auto"/>
              <w:bottom w:val="single" w:sz="4" w:space="0" w:color="auto"/>
              <w:right w:val="single" w:sz="4" w:space="0" w:color="auto"/>
            </w:tcBorders>
            <w:vAlign w:val="center"/>
          </w:tcPr>
          <w:p w14:paraId="5B00C22D" w14:textId="0B14807E" w:rsidR="00985AAC" w:rsidRPr="0070468D" w:rsidRDefault="00985AAC" w:rsidP="00985AAC">
            <w:pPr>
              <w:ind w:left="-101" w:right="-111"/>
              <w:jc w:val="center"/>
              <w:rPr>
                <w:lang w:eastAsia="uk-UA"/>
              </w:rPr>
            </w:pPr>
            <w:r>
              <w:rPr>
                <w:lang w:eastAsia="uk-UA"/>
              </w:rPr>
              <w:t>140,65</w:t>
            </w:r>
          </w:p>
        </w:tc>
        <w:tc>
          <w:tcPr>
            <w:tcW w:w="636" w:type="pct"/>
            <w:tcBorders>
              <w:top w:val="nil"/>
              <w:left w:val="single" w:sz="4" w:space="0" w:color="auto"/>
              <w:bottom w:val="single" w:sz="4" w:space="0" w:color="auto"/>
              <w:right w:val="single" w:sz="4" w:space="0" w:color="auto"/>
            </w:tcBorders>
            <w:vAlign w:val="center"/>
          </w:tcPr>
          <w:p w14:paraId="00081505" w14:textId="6A36DFE8" w:rsidR="00985AAC" w:rsidRDefault="000563DC" w:rsidP="00985AAC">
            <w:pPr>
              <w:ind w:left="-103" w:right="-107"/>
              <w:jc w:val="center"/>
              <w:rPr>
                <w:lang w:eastAsia="uk-UA"/>
              </w:rPr>
            </w:pPr>
            <w:r>
              <w:rPr>
                <w:lang w:eastAsia="uk-UA"/>
              </w:rPr>
              <w:t>183,95</w:t>
            </w:r>
          </w:p>
        </w:tc>
        <w:tc>
          <w:tcPr>
            <w:tcW w:w="636" w:type="pct"/>
            <w:tcBorders>
              <w:top w:val="nil"/>
              <w:left w:val="single" w:sz="4" w:space="0" w:color="auto"/>
              <w:bottom w:val="single" w:sz="4" w:space="0" w:color="auto"/>
              <w:right w:val="single" w:sz="4" w:space="0" w:color="auto"/>
            </w:tcBorders>
            <w:noWrap/>
            <w:vAlign w:val="center"/>
          </w:tcPr>
          <w:p w14:paraId="71121A45" w14:textId="37EFA7E0" w:rsidR="00985AAC" w:rsidRPr="0070468D" w:rsidRDefault="00985AAC" w:rsidP="007D62F5">
            <w:pPr>
              <w:jc w:val="center"/>
              <w:rPr>
                <w:lang w:eastAsia="uk-UA"/>
              </w:rPr>
            </w:pPr>
            <w:r>
              <w:rPr>
                <w:lang w:eastAsia="uk-UA"/>
              </w:rPr>
              <w:t>318,05</w:t>
            </w:r>
          </w:p>
        </w:tc>
        <w:tc>
          <w:tcPr>
            <w:tcW w:w="773" w:type="pct"/>
            <w:tcBorders>
              <w:top w:val="nil"/>
              <w:left w:val="nil"/>
              <w:bottom w:val="single" w:sz="4" w:space="0" w:color="auto"/>
              <w:right w:val="single" w:sz="4" w:space="0" w:color="auto"/>
            </w:tcBorders>
            <w:noWrap/>
            <w:vAlign w:val="center"/>
          </w:tcPr>
          <w:p w14:paraId="5E86BDF4" w14:textId="479B1FA4" w:rsidR="00985AAC" w:rsidRPr="0070468D" w:rsidRDefault="00985AAC" w:rsidP="007D62F5">
            <w:pPr>
              <w:jc w:val="center"/>
              <w:rPr>
                <w:lang w:eastAsia="uk-UA"/>
              </w:rPr>
            </w:pPr>
            <w:r>
              <w:rPr>
                <w:lang w:eastAsia="uk-UA"/>
              </w:rPr>
              <w:t>55,70</w:t>
            </w:r>
          </w:p>
        </w:tc>
      </w:tr>
      <w:tr w:rsidR="0044172F" w:rsidRPr="0070468D" w14:paraId="64B90910" w14:textId="77777777" w:rsidTr="0044172F">
        <w:trPr>
          <w:trHeight w:val="315"/>
          <w:jc w:val="center"/>
        </w:trPr>
        <w:tc>
          <w:tcPr>
            <w:tcW w:w="883" w:type="pct"/>
            <w:tcBorders>
              <w:top w:val="nil"/>
              <w:left w:val="single" w:sz="4" w:space="0" w:color="auto"/>
              <w:bottom w:val="single" w:sz="4" w:space="0" w:color="auto"/>
              <w:right w:val="single" w:sz="4" w:space="0" w:color="auto"/>
            </w:tcBorders>
            <w:noWrap/>
            <w:vAlign w:val="center"/>
          </w:tcPr>
          <w:p w14:paraId="08330F90" w14:textId="77777777" w:rsidR="00985AAC" w:rsidRPr="0070468D" w:rsidRDefault="00985AAC" w:rsidP="007D62F5">
            <w:pPr>
              <w:rPr>
                <w:lang w:eastAsia="uk-UA"/>
              </w:rPr>
            </w:pPr>
            <w:r w:rsidRPr="0070468D">
              <w:rPr>
                <w:lang w:eastAsia="uk-UA"/>
              </w:rPr>
              <w:t xml:space="preserve">Рентабельність </w:t>
            </w:r>
          </w:p>
        </w:tc>
        <w:tc>
          <w:tcPr>
            <w:tcW w:w="571" w:type="pct"/>
            <w:tcBorders>
              <w:top w:val="single" w:sz="4" w:space="0" w:color="auto"/>
              <w:left w:val="nil"/>
              <w:bottom w:val="single" w:sz="4" w:space="0" w:color="auto"/>
              <w:right w:val="single" w:sz="4" w:space="0" w:color="auto"/>
            </w:tcBorders>
            <w:vAlign w:val="center"/>
          </w:tcPr>
          <w:p w14:paraId="19DE0F53" w14:textId="3D699E3C" w:rsidR="00985AAC" w:rsidRDefault="00985AAC" w:rsidP="007D62F5">
            <w:pPr>
              <w:jc w:val="center"/>
              <w:rPr>
                <w:lang w:eastAsia="uk-UA"/>
              </w:rPr>
            </w:pPr>
            <w:r>
              <w:rPr>
                <w:lang w:eastAsia="uk-UA"/>
              </w:rPr>
              <w:t>0%</w:t>
            </w:r>
          </w:p>
        </w:tc>
        <w:tc>
          <w:tcPr>
            <w:tcW w:w="373" w:type="pct"/>
            <w:tcBorders>
              <w:top w:val="nil"/>
              <w:left w:val="single" w:sz="4" w:space="0" w:color="auto"/>
              <w:bottom w:val="single" w:sz="4" w:space="0" w:color="auto"/>
              <w:right w:val="single" w:sz="4" w:space="0" w:color="auto"/>
            </w:tcBorders>
            <w:noWrap/>
            <w:vAlign w:val="center"/>
          </w:tcPr>
          <w:p w14:paraId="29E8C37B" w14:textId="151320CD" w:rsidR="00985AAC" w:rsidRPr="0070468D" w:rsidRDefault="00985AAC" w:rsidP="007D62F5">
            <w:pPr>
              <w:jc w:val="center"/>
              <w:rPr>
                <w:lang w:eastAsia="uk-UA"/>
              </w:rPr>
            </w:pPr>
            <w:r>
              <w:rPr>
                <w:lang w:eastAsia="uk-UA"/>
              </w:rPr>
              <w:t>0</w:t>
            </w:r>
            <w:r w:rsidRPr="0070468D">
              <w:rPr>
                <w:lang w:eastAsia="uk-UA"/>
              </w:rPr>
              <w:t>%</w:t>
            </w:r>
          </w:p>
        </w:tc>
        <w:tc>
          <w:tcPr>
            <w:tcW w:w="344" w:type="pct"/>
            <w:tcBorders>
              <w:top w:val="single" w:sz="4" w:space="0" w:color="auto"/>
              <w:left w:val="nil"/>
              <w:bottom w:val="single" w:sz="4" w:space="0" w:color="auto"/>
              <w:right w:val="single" w:sz="4" w:space="0" w:color="auto"/>
            </w:tcBorders>
            <w:vAlign w:val="center"/>
          </w:tcPr>
          <w:p w14:paraId="141136A6" w14:textId="18C45F1D" w:rsidR="00985AAC" w:rsidRPr="0070468D" w:rsidRDefault="00985AAC" w:rsidP="00560891">
            <w:pPr>
              <w:jc w:val="center"/>
              <w:rPr>
                <w:lang w:eastAsia="uk-UA"/>
              </w:rPr>
            </w:pPr>
            <w:r>
              <w:rPr>
                <w:lang w:eastAsia="uk-UA"/>
              </w:rPr>
              <w:t>0%</w:t>
            </w:r>
          </w:p>
        </w:tc>
        <w:tc>
          <w:tcPr>
            <w:tcW w:w="361" w:type="pct"/>
            <w:tcBorders>
              <w:top w:val="single" w:sz="4" w:space="0" w:color="auto"/>
              <w:left w:val="single" w:sz="4" w:space="0" w:color="auto"/>
              <w:bottom w:val="single" w:sz="4" w:space="0" w:color="auto"/>
              <w:right w:val="single" w:sz="4" w:space="0" w:color="auto"/>
            </w:tcBorders>
            <w:vAlign w:val="center"/>
          </w:tcPr>
          <w:p w14:paraId="248313B2" w14:textId="4799FDC4" w:rsidR="00985AAC" w:rsidRPr="0070468D" w:rsidRDefault="00985AAC" w:rsidP="00560891">
            <w:pPr>
              <w:ind w:left="-111" w:right="-42"/>
              <w:jc w:val="center"/>
              <w:rPr>
                <w:lang w:eastAsia="uk-UA"/>
              </w:rPr>
            </w:pPr>
            <w:r>
              <w:rPr>
                <w:lang w:eastAsia="uk-UA"/>
              </w:rPr>
              <w:t>0%</w:t>
            </w:r>
          </w:p>
        </w:tc>
        <w:tc>
          <w:tcPr>
            <w:tcW w:w="423" w:type="pct"/>
            <w:tcBorders>
              <w:top w:val="single" w:sz="4" w:space="0" w:color="auto"/>
              <w:left w:val="single" w:sz="4" w:space="0" w:color="auto"/>
              <w:bottom w:val="single" w:sz="4" w:space="0" w:color="auto"/>
              <w:right w:val="single" w:sz="4" w:space="0" w:color="auto"/>
            </w:tcBorders>
            <w:vAlign w:val="center"/>
          </w:tcPr>
          <w:p w14:paraId="19FC33F7" w14:textId="6AD3576A" w:rsidR="00985AAC" w:rsidRPr="0070468D" w:rsidRDefault="00985AAC" w:rsidP="007D62F5">
            <w:pPr>
              <w:jc w:val="center"/>
              <w:rPr>
                <w:lang w:eastAsia="uk-UA"/>
              </w:rPr>
            </w:pPr>
            <w:r>
              <w:rPr>
                <w:lang w:eastAsia="uk-UA"/>
              </w:rPr>
              <w:t>0%</w:t>
            </w:r>
          </w:p>
        </w:tc>
        <w:tc>
          <w:tcPr>
            <w:tcW w:w="636" w:type="pct"/>
            <w:tcBorders>
              <w:top w:val="nil"/>
              <w:left w:val="single" w:sz="4" w:space="0" w:color="auto"/>
              <w:bottom w:val="single" w:sz="4" w:space="0" w:color="auto"/>
              <w:right w:val="single" w:sz="4" w:space="0" w:color="auto"/>
            </w:tcBorders>
            <w:vAlign w:val="center"/>
          </w:tcPr>
          <w:p w14:paraId="1636FAD0" w14:textId="57BA7AB7" w:rsidR="00985AAC" w:rsidRPr="0070468D" w:rsidRDefault="000563DC" w:rsidP="00985AAC">
            <w:pPr>
              <w:ind w:left="-103" w:right="-107"/>
              <w:jc w:val="center"/>
              <w:rPr>
                <w:lang w:eastAsia="uk-UA"/>
              </w:rPr>
            </w:pPr>
            <w:r>
              <w:rPr>
                <w:lang w:eastAsia="uk-UA"/>
              </w:rPr>
              <w:t>0%</w:t>
            </w:r>
          </w:p>
        </w:tc>
        <w:tc>
          <w:tcPr>
            <w:tcW w:w="636" w:type="pct"/>
            <w:tcBorders>
              <w:top w:val="nil"/>
              <w:left w:val="single" w:sz="4" w:space="0" w:color="auto"/>
              <w:bottom w:val="single" w:sz="4" w:space="0" w:color="auto"/>
              <w:right w:val="single" w:sz="4" w:space="0" w:color="auto"/>
            </w:tcBorders>
            <w:noWrap/>
            <w:vAlign w:val="center"/>
          </w:tcPr>
          <w:p w14:paraId="61A01A0D" w14:textId="511B0FB9" w:rsidR="00985AAC" w:rsidRPr="0070468D" w:rsidRDefault="00985AAC" w:rsidP="007D62F5">
            <w:pPr>
              <w:jc w:val="center"/>
              <w:rPr>
                <w:lang w:eastAsia="uk-UA"/>
              </w:rPr>
            </w:pPr>
            <w:r w:rsidRPr="0070468D">
              <w:rPr>
                <w:lang w:eastAsia="uk-UA"/>
              </w:rPr>
              <w:t>0%</w:t>
            </w:r>
          </w:p>
        </w:tc>
        <w:tc>
          <w:tcPr>
            <w:tcW w:w="773" w:type="pct"/>
            <w:tcBorders>
              <w:top w:val="nil"/>
              <w:left w:val="nil"/>
              <w:bottom w:val="single" w:sz="4" w:space="0" w:color="auto"/>
              <w:right w:val="single" w:sz="4" w:space="0" w:color="auto"/>
            </w:tcBorders>
            <w:noWrap/>
            <w:vAlign w:val="center"/>
          </w:tcPr>
          <w:p w14:paraId="561452CB" w14:textId="708CE948" w:rsidR="00985AAC" w:rsidRPr="0070468D" w:rsidRDefault="00985AAC" w:rsidP="007D62F5">
            <w:pPr>
              <w:jc w:val="center"/>
              <w:rPr>
                <w:lang w:eastAsia="uk-UA"/>
              </w:rPr>
            </w:pPr>
            <w:r>
              <w:rPr>
                <w:lang w:eastAsia="uk-UA"/>
              </w:rPr>
              <w:t>0</w:t>
            </w:r>
            <w:r w:rsidRPr="0070468D">
              <w:rPr>
                <w:lang w:eastAsia="uk-UA"/>
              </w:rPr>
              <w:t>%</w:t>
            </w:r>
          </w:p>
        </w:tc>
      </w:tr>
      <w:tr w:rsidR="0044172F" w:rsidRPr="0070468D" w14:paraId="1754CE04" w14:textId="77777777" w:rsidTr="0044172F">
        <w:trPr>
          <w:trHeight w:val="315"/>
          <w:jc w:val="center"/>
        </w:trPr>
        <w:tc>
          <w:tcPr>
            <w:tcW w:w="883" w:type="pct"/>
            <w:tcBorders>
              <w:top w:val="nil"/>
              <w:left w:val="single" w:sz="4" w:space="0" w:color="auto"/>
              <w:bottom w:val="single" w:sz="4" w:space="0" w:color="auto"/>
              <w:right w:val="single" w:sz="4" w:space="0" w:color="auto"/>
            </w:tcBorders>
            <w:noWrap/>
            <w:vAlign w:val="center"/>
          </w:tcPr>
          <w:p w14:paraId="299DAA6B" w14:textId="77777777" w:rsidR="00985AAC" w:rsidRPr="0070468D" w:rsidRDefault="00985AAC" w:rsidP="007D62F5">
            <w:pPr>
              <w:rPr>
                <w:lang w:eastAsia="uk-UA"/>
              </w:rPr>
            </w:pPr>
            <w:r w:rsidRPr="0070468D">
              <w:rPr>
                <w:lang w:eastAsia="uk-UA"/>
              </w:rPr>
              <w:t>Прибуток</w:t>
            </w:r>
          </w:p>
        </w:tc>
        <w:tc>
          <w:tcPr>
            <w:tcW w:w="571" w:type="pct"/>
            <w:tcBorders>
              <w:top w:val="single" w:sz="4" w:space="0" w:color="auto"/>
              <w:left w:val="nil"/>
              <w:bottom w:val="single" w:sz="4" w:space="0" w:color="auto"/>
              <w:right w:val="single" w:sz="4" w:space="0" w:color="auto"/>
            </w:tcBorders>
            <w:vAlign w:val="center"/>
          </w:tcPr>
          <w:p w14:paraId="1FABF2C0" w14:textId="17E825D0" w:rsidR="00985AAC" w:rsidRDefault="00985AAC" w:rsidP="007D62F5">
            <w:pPr>
              <w:jc w:val="center"/>
              <w:rPr>
                <w:lang w:eastAsia="uk-UA"/>
              </w:rPr>
            </w:pPr>
            <w:r>
              <w:rPr>
                <w:lang w:eastAsia="uk-UA"/>
              </w:rPr>
              <w:t>0</w:t>
            </w:r>
          </w:p>
        </w:tc>
        <w:tc>
          <w:tcPr>
            <w:tcW w:w="373" w:type="pct"/>
            <w:tcBorders>
              <w:top w:val="nil"/>
              <w:left w:val="single" w:sz="4" w:space="0" w:color="auto"/>
              <w:bottom w:val="single" w:sz="4" w:space="0" w:color="auto"/>
              <w:right w:val="single" w:sz="4" w:space="0" w:color="auto"/>
            </w:tcBorders>
            <w:noWrap/>
            <w:vAlign w:val="center"/>
          </w:tcPr>
          <w:p w14:paraId="209F8B29" w14:textId="76FE9520" w:rsidR="00985AAC" w:rsidRPr="0070468D" w:rsidRDefault="00985AAC" w:rsidP="007D62F5">
            <w:pPr>
              <w:jc w:val="center"/>
              <w:rPr>
                <w:lang w:eastAsia="uk-UA"/>
              </w:rPr>
            </w:pPr>
            <w:r>
              <w:rPr>
                <w:lang w:eastAsia="uk-UA"/>
              </w:rPr>
              <w:t>0</w:t>
            </w:r>
          </w:p>
        </w:tc>
        <w:tc>
          <w:tcPr>
            <w:tcW w:w="344" w:type="pct"/>
            <w:tcBorders>
              <w:top w:val="single" w:sz="4" w:space="0" w:color="auto"/>
              <w:left w:val="nil"/>
              <w:bottom w:val="single" w:sz="4" w:space="0" w:color="auto"/>
              <w:right w:val="single" w:sz="4" w:space="0" w:color="auto"/>
            </w:tcBorders>
            <w:vAlign w:val="center"/>
          </w:tcPr>
          <w:p w14:paraId="4FF869CE" w14:textId="48CD5E64" w:rsidR="00985AAC" w:rsidRPr="0070468D" w:rsidRDefault="00985AAC" w:rsidP="007D62F5">
            <w:pPr>
              <w:jc w:val="center"/>
              <w:rPr>
                <w:lang w:eastAsia="uk-UA"/>
              </w:rPr>
            </w:pPr>
            <w:r>
              <w:rPr>
                <w:lang w:eastAsia="uk-UA"/>
              </w:rPr>
              <w:t>0</w:t>
            </w:r>
          </w:p>
        </w:tc>
        <w:tc>
          <w:tcPr>
            <w:tcW w:w="361" w:type="pct"/>
            <w:tcBorders>
              <w:top w:val="single" w:sz="4" w:space="0" w:color="auto"/>
              <w:left w:val="single" w:sz="4" w:space="0" w:color="auto"/>
              <w:bottom w:val="single" w:sz="4" w:space="0" w:color="auto"/>
              <w:right w:val="single" w:sz="4" w:space="0" w:color="auto"/>
            </w:tcBorders>
            <w:vAlign w:val="center"/>
          </w:tcPr>
          <w:p w14:paraId="6E3D79FD" w14:textId="09AAF6ED" w:rsidR="00985AAC" w:rsidRPr="0070468D" w:rsidRDefault="00985AAC" w:rsidP="00560891">
            <w:pPr>
              <w:ind w:left="-111" w:right="-42"/>
              <w:jc w:val="center"/>
              <w:rPr>
                <w:lang w:eastAsia="uk-UA"/>
              </w:rPr>
            </w:pPr>
            <w:r>
              <w:rPr>
                <w:lang w:eastAsia="uk-UA"/>
              </w:rPr>
              <w:t>0</w:t>
            </w:r>
          </w:p>
        </w:tc>
        <w:tc>
          <w:tcPr>
            <w:tcW w:w="423" w:type="pct"/>
            <w:tcBorders>
              <w:top w:val="single" w:sz="4" w:space="0" w:color="auto"/>
              <w:left w:val="single" w:sz="4" w:space="0" w:color="auto"/>
              <w:bottom w:val="single" w:sz="4" w:space="0" w:color="auto"/>
              <w:right w:val="single" w:sz="4" w:space="0" w:color="auto"/>
            </w:tcBorders>
            <w:vAlign w:val="center"/>
          </w:tcPr>
          <w:p w14:paraId="06E47BCB" w14:textId="7ECF9858" w:rsidR="00985AAC" w:rsidRPr="0070468D" w:rsidRDefault="00985AAC" w:rsidP="007D62F5">
            <w:pPr>
              <w:jc w:val="center"/>
              <w:rPr>
                <w:lang w:eastAsia="uk-UA"/>
              </w:rPr>
            </w:pPr>
            <w:r>
              <w:rPr>
                <w:lang w:eastAsia="uk-UA"/>
              </w:rPr>
              <w:t>0</w:t>
            </w:r>
          </w:p>
        </w:tc>
        <w:tc>
          <w:tcPr>
            <w:tcW w:w="636" w:type="pct"/>
            <w:tcBorders>
              <w:top w:val="nil"/>
              <w:left w:val="single" w:sz="4" w:space="0" w:color="auto"/>
              <w:bottom w:val="single" w:sz="4" w:space="0" w:color="auto"/>
              <w:right w:val="single" w:sz="4" w:space="0" w:color="auto"/>
            </w:tcBorders>
            <w:vAlign w:val="center"/>
          </w:tcPr>
          <w:p w14:paraId="0A3C452A" w14:textId="280299E5" w:rsidR="00985AAC" w:rsidRDefault="000563DC" w:rsidP="00985AAC">
            <w:pPr>
              <w:ind w:left="-103" w:right="-107"/>
              <w:jc w:val="center"/>
              <w:rPr>
                <w:lang w:eastAsia="uk-UA"/>
              </w:rPr>
            </w:pPr>
            <w:r>
              <w:rPr>
                <w:lang w:eastAsia="uk-UA"/>
              </w:rPr>
              <w:t>0</w:t>
            </w:r>
          </w:p>
        </w:tc>
        <w:tc>
          <w:tcPr>
            <w:tcW w:w="636" w:type="pct"/>
            <w:tcBorders>
              <w:top w:val="nil"/>
              <w:left w:val="single" w:sz="4" w:space="0" w:color="auto"/>
              <w:bottom w:val="single" w:sz="4" w:space="0" w:color="auto"/>
              <w:right w:val="single" w:sz="4" w:space="0" w:color="auto"/>
            </w:tcBorders>
            <w:noWrap/>
            <w:vAlign w:val="center"/>
          </w:tcPr>
          <w:p w14:paraId="23AA77E4" w14:textId="5640AD11" w:rsidR="00985AAC" w:rsidRPr="0070468D" w:rsidRDefault="00985AAC" w:rsidP="007D62F5">
            <w:pPr>
              <w:jc w:val="center"/>
              <w:rPr>
                <w:lang w:eastAsia="uk-UA"/>
              </w:rPr>
            </w:pPr>
            <w:r>
              <w:rPr>
                <w:lang w:eastAsia="uk-UA"/>
              </w:rPr>
              <w:t>0</w:t>
            </w:r>
          </w:p>
        </w:tc>
        <w:tc>
          <w:tcPr>
            <w:tcW w:w="773" w:type="pct"/>
            <w:tcBorders>
              <w:top w:val="nil"/>
              <w:left w:val="nil"/>
              <w:bottom w:val="single" w:sz="4" w:space="0" w:color="auto"/>
              <w:right w:val="single" w:sz="4" w:space="0" w:color="auto"/>
            </w:tcBorders>
            <w:noWrap/>
            <w:vAlign w:val="center"/>
          </w:tcPr>
          <w:p w14:paraId="5DC6310E" w14:textId="689DB49E" w:rsidR="00985AAC" w:rsidRPr="0070468D" w:rsidRDefault="00985AAC" w:rsidP="007D62F5">
            <w:pPr>
              <w:jc w:val="center"/>
              <w:rPr>
                <w:lang w:eastAsia="uk-UA"/>
              </w:rPr>
            </w:pPr>
            <w:r>
              <w:rPr>
                <w:lang w:eastAsia="uk-UA"/>
              </w:rPr>
              <w:t>0</w:t>
            </w:r>
          </w:p>
        </w:tc>
      </w:tr>
      <w:tr w:rsidR="0044172F" w:rsidRPr="0070468D" w14:paraId="7EF2D1D2" w14:textId="77777777" w:rsidTr="0044172F">
        <w:trPr>
          <w:trHeight w:val="315"/>
          <w:jc w:val="center"/>
        </w:trPr>
        <w:tc>
          <w:tcPr>
            <w:tcW w:w="883" w:type="pct"/>
            <w:tcBorders>
              <w:top w:val="nil"/>
              <w:left w:val="single" w:sz="4" w:space="0" w:color="auto"/>
              <w:bottom w:val="single" w:sz="4" w:space="0" w:color="auto"/>
              <w:right w:val="single" w:sz="4" w:space="0" w:color="auto"/>
            </w:tcBorders>
            <w:noWrap/>
            <w:vAlign w:val="center"/>
          </w:tcPr>
          <w:p w14:paraId="2B702075" w14:textId="77777777" w:rsidR="00985AAC" w:rsidRPr="0070468D" w:rsidRDefault="00985AAC" w:rsidP="007D62F5">
            <w:pPr>
              <w:rPr>
                <w:lang w:eastAsia="uk-UA"/>
              </w:rPr>
            </w:pPr>
            <w:r w:rsidRPr="0070468D">
              <w:rPr>
                <w:lang w:eastAsia="uk-UA"/>
              </w:rPr>
              <w:t>Тариф 1м³ без ПДВ</w:t>
            </w:r>
          </w:p>
        </w:tc>
        <w:tc>
          <w:tcPr>
            <w:tcW w:w="571" w:type="pct"/>
            <w:tcBorders>
              <w:top w:val="single" w:sz="4" w:space="0" w:color="auto"/>
              <w:left w:val="nil"/>
              <w:bottom w:val="single" w:sz="4" w:space="0" w:color="auto"/>
              <w:right w:val="single" w:sz="4" w:space="0" w:color="auto"/>
            </w:tcBorders>
            <w:vAlign w:val="center"/>
          </w:tcPr>
          <w:p w14:paraId="7F96706D" w14:textId="65639CA8" w:rsidR="00985AAC" w:rsidRPr="0070468D" w:rsidRDefault="00985AAC" w:rsidP="007D62F5">
            <w:pPr>
              <w:jc w:val="center"/>
              <w:rPr>
                <w:lang w:eastAsia="uk-UA"/>
              </w:rPr>
            </w:pPr>
            <w:r>
              <w:rPr>
                <w:lang w:eastAsia="uk-UA"/>
              </w:rPr>
              <w:t>50,00</w:t>
            </w:r>
          </w:p>
        </w:tc>
        <w:tc>
          <w:tcPr>
            <w:tcW w:w="373" w:type="pct"/>
            <w:tcBorders>
              <w:top w:val="nil"/>
              <w:left w:val="single" w:sz="4" w:space="0" w:color="auto"/>
              <w:bottom w:val="single" w:sz="4" w:space="0" w:color="auto"/>
              <w:right w:val="single" w:sz="4" w:space="0" w:color="auto"/>
            </w:tcBorders>
            <w:noWrap/>
            <w:vAlign w:val="center"/>
          </w:tcPr>
          <w:p w14:paraId="0799FA68" w14:textId="6AECAFD3" w:rsidR="00985AAC" w:rsidRPr="0070468D" w:rsidRDefault="00985AAC" w:rsidP="005A1728">
            <w:pPr>
              <w:ind w:left="-147" w:right="-30"/>
              <w:jc w:val="center"/>
              <w:rPr>
                <w:lang w:eastAsia="uk-UA"/>
              </w:rPr>
            </w:pPr>
            <w:r>
              <w:rPr>
                <w:lang w:eastAsia="uk-UA"/>
              </w:rPr>
              <w:t>62,20</w:t>
            </w:r>
          </w:p>
        </w:tc>
        <w:tc>
          <w:tcPr>
            <w:tcW w:w="344" w:type="pct"/>
            <w:tcBorders>
              <w:top w:val="single" w:sz="4" w:space="0" w:color="auto"/>
              <w:left w:val="nil"/>
              <w:bottom w:val="single" w:sz="4" w:space="0" w:color="auto"/>
              <w:right w:val="single" w:sz="4" w:space="0" w:color="auto"/>
            </w:tcBorders>
            <w:vAlign w:val="center"/>
          </w:tcPr>
          <w:p w14:paraId="7EF07B9E" w14:textId="64EC00E3" w:rsidR="00985AAC" w:rsidRPr="0070468D" w:rsidRDefault="00985AAC" w:rsidP="00560891">
            <w:pPr>
              <w:ind w:left="-107" w:right="-113"/>
              <w:jc w:val="center"/>
              <w:rPr>
                <w:lang w:eastAsia="uk-UA"/>
              </w:rPr>
            </w:pPr>
            <w:r>
              <w:rPr>
                <w:lang w:eastAsia="uk-UA"/>
              </w:rPr>
              <w:t>114,05</w:t>
            </w:r>
          </w:p>
        </w:tc>
        <w:tc>
          <w:tcPr>
            <w:tcW w:w="361" w:type="pct"/>
            <w:tcBorders>
              <w:top w:val="single" w:sz="4" w:space="0" w:color="auto"/>
              <w:left w:val="single" w:sz="4" w:space="0" w:color="auto"/>
              <w:bottom w:val="single" w:sz="4" w:space="0" w:color="auto"/>
              <w:right w:val="single" w:sz="4" w:space="0" w:color="auto"/>
            </w:tcBorders>
            <w:vAlign w:val="center"/>
          </w:tcPr>
          <w:p w14:paraId="40448B8B" w14:textId="36614699" w:rsidR="00985AAC" w:rsidRPr="0070468D" w:rsidRDefault="00985AAC" w:rsidP="00560891">
            <w:pPr>
              <w:ind w:left="-111" w:right="-110"/>
              <w:jc w:val="center"/>
              <w:rPr>
                <w:lang w:eastAsia="uk-UA"/>
              </w:rPr>
            </w:pPr>
            <w:r>
              <w:rPr>
                <w:lang w:eastAsia="uk-UA"/>
              </w:rPr>
              <w:t>118,25</w:t>
            </w:r>
          </w:p>
        </w:tc>
        <w:tc>
          <w:tcPr>
            <w:tcW w:w="423" w:type="pct"/>
            <w:tcBorders>
              <w:top w:val="single" w:sz="4" w:space="0" w:color="auto"/>
              <w:left w:val="single" w:sz="4" w:space="0" w:color="auto"/>
              <w:bottom w:val="single" w:sz="4" w:space="0" w:color="auto"/>
              <w:right w:val="single" w:sz="4" w:space="0" w:color="auto"/>
            </w:tcBorders>
            <w:vAlign w:val="center"/>
          </w:tcPr>
          <w:p w14:paraId="406D1146" w14:textId="36198160" w:rsidR="00985AAC" w:rsidRPr="0070468D" w:rsidRDefault="00985AAC" w:rsidP="00985AAC">
            <w:pPr>
              <w:ind w:left="-116" w:right="-104"/>
              <w:jc w:val="center"/>
              <w:rPr>
                <w:lang w:eastAsia="uk-UA"/>
              </w:rPr>
            </w:pPr>
            <w:r>
              <w:rPr>
                <w:lang w:eastAsia="uk-UA"/>
              </w:rPr>
              <w:t>140,65</w:t>
            </w:r>
          </w:p>
        </w:tc>
        <w:tc>
          <w:tcPr>
            <w:tcW w:w="636" w:type="pct"/>
            <w:tcBorders>
              <w:top w:val="nil"/>
              <w:left w:val="single" w:sz="4" w:space="0" w:color="auto"/>
              <w:bottom w:val="single" w:sz="4" w:space="0" w:color="auto"/>
              <w:right w:val="single" w:sz="4" w:space="0" w:color="auto"/>
            </w:tcBorders>
            <w:vAlign w:val="center"/>
          </w:tcPr>
          <w:p w14:paraId="4431E60D" w14:textId="316AB564" w:rsidR="00985AAC" w:rsidRDefault="000563DC" w:rsidP="00985AAC">
            <w:pPr>
              <w:ind w:left="-103" w:right="-107"/>
              <w:jc w:val="center"/>
              <w:rPr>
                <w:lang w:eastAsia="uk-UA"/>
              </w:rPr>
            </w:pPr>
            <w:r>
              <w:rPr>
                <w:lang w:eastAsia="uk-UA"/>
              </w:rPr>
              <w:t>183,95</w:t>
            </w:r>
          </w:p>
        </w:tc>
        <w:tc>
          <w:tcPr>
            <w:tcW w:w="636" w:type="pct"/>
            <w:tcBorders>
              <w:top w:val="nil"/>
              <w:left w:val="single" w:sz="4" w:space="0" w:color="auto"/>
              <w:bottom w:val="single" w:sz="4" w:space="0" w:color="auto"/>
              <w:right w:val="single" w:sz="4" w:space="0" w:color="auto"/>
            </w:tcBorders>
            <w:noWrap/>
            <w:vAlign w:val="center"/>
          </w:tcPr>
          <w:p w14:paraId="3928095A" w14:textId="45360385" w:rsidR="00985AAC" w:rsidRPr="0070468D" w:rsidRDefault="00985AAC" w:rsidP="007D62F5">
            <w:pPr>
              <w:jc w:val="center"/>
              <w:rPr>
                <w:lang w:eastAsia="uk-UA"/>
              </w:rPr>
            </w:pPr>
            <w:r>
              <w:rPr>
                <w:lang w:eastAsia="uk-UA"/>
              </w:rPr>
              <w:t>318,05</w:t>
            </w:r>
          </w:p>
        </w:tc>
        <w:tc>
          <w:tcPr>
            <w:tcW w:w="773" w:type="pct"/>
            <w:tcBorders>
              <w:top w:val="nil"/>
              <w:left w:val="nil"/>
              <w:bottom w:val="single" w:sz="4" w:space="0" w:color="auto"/>
              <w:right w:val="single" w:sz="4" w:space="0" w:color="auto"/>
            </w:tcBorders>
            <w:noWrap/>
            <w:vAlign w:val="center"/>
          </w:tcPr>
          <w:p w14:paraId="4FFB838E" w14:textId="656AC7A8" w:rsidR="00985AAC" w:rsidRPr="0070468D" w:rsidRDefault="00985AAC" w:rsidP="007D62F5">
            <w:pPr>
              <w:jc w:val="center"/>
              <w:rPr>
                <w:lang w:eastAsia="uk-UA"/>
              </w:rPr>
            </w:pPr>
            <w:r>
              <w:rPr>
                <w:lang w:eastAsia="uk-UA"/>
              </w:rPr>
              <w:t>55,70</w:t>
            </w:r>
          </w:p>
        </w:tc>
      </w:tr>
      <w:tr w:rsidR="0044172F" w:rsidRPr="0070468D" w14:paraId="0D4DA77B" w14:textId="77777777" w:rsidTr="0044172F">
        <w:trPr>
          <w:trHeight w:val="315"/>
          <w:jc w:val="center"/>
        </w:trPr>
        <w:tc>
          <w:tcPr>
            <w:tcW w:w="883" w:type="pct"/>
            <w:tcBorders>
              <w:top w:val="nil"/>
              <w:left w:val="single" w:sz="4" w:space="0" w:color="auto"/>
              <w:bottom w:val="single" w:sz="4" w:space="0" w:color="auto"/>
              <w:right w:val="single" w:sz="4" w:space="0" w:color="auto"/>
            </w:tcBorders>
            <w:noWrap/>
            <w:vAlign w:val="center"/>
          </w:tcPr>
          <w:p w14:paraId="4468736E" w14:textId="77777777" w:rsidR="00985AAC" w:rsidRPr="0070468D" w:rsidRDefault="00985AAC" w:rsidP="007D62F5">
            <w:pPr>
              <w:rPr>
                <w:lang w:eastAsia="uk-UA"/>
              </w:rPr>
            </w:pPr>
            <w:r w:rsidRPr="0070468D">
              <w:rPr>
                <w:lang w:eastAsia="uk-UA"/>
              </w:rPr>
              <w:t>ПДВ 20%</w:t>
            </w:r>
          </w:p>
        </w:tc>
        <w:tc>
          <w:tcPr>
            <w:tcW w:w="571" w:type="pct"/>
            <w:tcBorders>
              <w:top w:val="single" w:sz="4" w:space="0" w:color="auto"/>
              <w:left w:val="nil"/>
              <w:bottom w:val="single" w:sz="4" w:space="0" w:color="auto"/>
              <w:right w:val="single" w:sz="4" w:space="0" w:color="auto"/>
            </w:tcBorders>
            <w:vAlign w:val="center"/>
          </w:tcPr>
          <w:p w14:paraId="1EB50A69" w14:textId="0965BBBE" w:rsidR="00985AAC" w:rsidRPr="0070468D" w:rsidRDefault="00985AAC" w:rsidP="007D62F5">
            <w:pPr>
              <w:jc w:val="center"/>
              <w:rPr>
                <w:lang w:eastAsia="uk-UA"/>
              </w:rPr>
            </w:pPr>
            <w:r>
              <w:rPr>
                <w:lang w:eastAsia="uk-UA"/>
              </w:rPr>
              <w:t>10,00</w:t>
            </w:r>
          </w:p>
        </w:tc>
        <w:tc>
          <w:tcPr>
            <w:tcW w:w="373" w:type="pct"/>
            <w:tcBorders>
              <w:top w:val="nil"/>
              <w:left w:val="single" w:sz="4" w:space="0" w:color="auto"/>
              <w:bottom w:val="single" w:sz="4" w:space="0" w:color="auto"/>
              <w:right w:val="single" w:sz="4" w:space="0" w:color="auto"/>
            </w:tcBorders>
            <w:noWrap/>
            <w:vAlign w:val="center"/>
          </w:tcPr>
          <w:p w14:paraId="76210C76" w14:textId="48C2AF21" w:rsidR="00985AAC" w:rsidRPr="0070468D" w:rsidRDefault="00985AAC" w:rsidP="005A1728">
            <w:pPr>
              <w:ind w:left="-147" w:right="-162"/>
              <w:jc w:val="center"/>
              <w:rPr>
                <w:lang w:eastAsia="uk-UA"/>
              </w:rPr>
            </w:pPr>
            <w:r>
              <w:rPr>
                <w:lang w:eastAsia="uk-UA"/>
              </w:rPr>
              <w:t>12,44</w:t>
            </w:r>
          </w:p>
        </w:tc>
        <w:tc>
          <w:tcPr>
            <w:tcW w:w="344" w:type="pct"/>
            <w:tcBorders>
              <w:top w:val="single" w:sz="4" w:space="0" w:color="auto"/>
              <w:left w:val="nil"/>
              <w:bottom w:val="single" w:sz="4" w:space="0" w:color="auto"/>
              <w:right w:val="single" w:sz="4" w:space="0" w:color="auto"/>
            </w:tcBorders>
            <w:vAlign w:val="center"/>
          </w:tcPr>
          <w:p w14:paraId="645F8AB5" w14:textId="7CB3BD7A" w:rsidR="00985AAC" w:rsidRPr="0070468D" w:rsidRDefault="00985AAC" w:rsidP="00560891">
            <w:pPr>
              <w:ind w:left="-107" w:right="-113"/>
              <w:jc w:val="center"/>
              <w:rPr>
                <w:lang w:eastAsia="uk-UA"/>
              </w:rPr>
            </w:pPr>
            <w:r>
              <w:rPr>
                <w:lang w:eastAsia="uk-UA"/>
              </w:rPr>
              <w:t>22,81</w:t>
            </w:r>
          </w:p>
        </w:tc>
        <w:tc>
          <w:tcPr>
            <w:tcW w:w="361" w:type="pct"/>
            <w:tcBorders>
              <w:top w:val="single" w:sz="4" w:space="0" w:color="auto"/>
              <w:left w:val="single" w:sz="4" w:space="0" w:color="auto"/>
              <w:bottom w:val="single" w:sz="4" w:space="0" w:color="auto"/>
              <w:right w:val="single" w:sz="4" w:space="0" w:color="auto"/>
            </w:tcBorders>
            <w:vAlign w:val="center"/>
          </w:tcPr>
          <w:p w14:paraId="3D5D599C" w14:textId="1A1807DE" w:rsidR="00985AAC" w:rsidRPr="0070468D" w:rsidRDefault="00985AAC" w:rsidP="00560891">
            <w:pPr>
              <w:ind w:left="-111" w:right="-110"/>
              <w:jc w:val="center"/>
              <w:rPr>
                <w:lang w:eastAsia="uk-UA"/>
              </w:rPr>
            </w:pPr>
            <w:r>
              <w:rPr>
                <w:lang w:eastAsia="uk-UA"/>
              </w:rPr>
              <w:t>23,65</w:t>
            </w:r>
          </w:p>
        </w:tc>
        <w:tc>
          <w:tcPr>
            <w:tcW w:w="423" w:type="pct"/>
            <w:tcBorders>
              <w:top w:val="single" w:sz="4" w:space="0" w:color="auto"/>
              <w:left w:val="single" w:sz="4" w:space="0" w:color="auto"/>
              <w:bottom w:val="single" w:sz="4" w:space="0" w:color="auto"/>
              <w:right w:val="single" w:sz="4" w:space="0" w:color="auto"/>
            </w:tcBorders>
            <w:vAlign w:val="center"/>
          </w:tcPr>
          <w:p w14:paraId="30B9FE9F" w14:textId="6CBB1B0A" w:rsidR="00985AAC" w:rsidRPr="0070468D" w:rsidRDefault="00985AAC" w:rsidP="007D62F5">
            <w:pPr>
              <w:jc w:val="center"/>
              <w:rPr>
                <w:lang w:eastAsia="uk-UA"/>
              </w:rPr>
            </w:pPr>
            <w:r>
              <w:rPr>
                <w:lang w:eastAsia="uk-UA"/>
              </w:rPr>
              <w:t>28,13</w:t>
            </w:r>
          </w:p>
        </w:tc>
        <w:tc>
          <w:tcPr>
            <w:tcW w:w="636" w:type="pct"/>
            <w:tcBorders>
              <w:top w:val="nil"/>
              <w:left w:val="single" w:sz="4" w:space="0" w:color="auto"/>
              <w:bottom w:val="single" w:sz="4" w:space="0" w:color="auto"/>
              <w:right w:val="single" w:sz="4" w:space="0" w:color="auto"/>
            </w:tcBorders>
            <w:vAlign w:val="center"/>
          </w:tcPr>
          <w:p w14:paraId="1AE35939" w14:textId="4DE465CA" w:rsidR="00985AAC" w:rsidRDefault="000563DC" w:rsidP="00985AAC">
            <w:pPr>
              <w:ind w:left="-103" w:right="-107"/>
              <w:jc w:val="center"/>
              <w:rPr>
                <w:lang w:eastAsia="uk-UA"/>
              </w:rPr>
            </w:pPr>
            <w:r>
              <w:rPr>
                <w:lang w:eastAsia="uk-UA"/>
              </w:rPr>
              <w:t>36,79</w:t>
            </w:r>
          </w:p>
        </w:tc>
        <w:tc>
          <w:tcPr>
            <w:tcW w:w="636" w:type="pct"/>
            <w:tcBorders>
              <w:top w:val="nil"/>
              <w:left w:val="single" w:sz="4" w:space="0" w:color="auto"/>
              <w:bottom w:val="single" w:sz="4" w:space="0" w:color="auto"/>
              <w:right w:val="single" w:sz="4" w:space="0" w:color="auto"/>
            </w:tcBorders>
            <w:noWrap/>
            <w:vAlign w:val="center"/>
          </w:tcPr>
          <w:p w14:paraId="6CE81256" w14:textId="4953474E" w:rsidR="00985AAC" w:rsidRPr="0070468D" w:rsidRDefault="00985AAC" w:rsidP="007D62F5">
            <w:pPr>
              <w:jc w:val="center"/>
              <w:rPr>
                <w:lang w:eastAsia="uk-UA"/>
              </w:rPr>
            </w:pPr>
            <w:r>
              <w:rPr>
                <w:lang w:eastAsia="uk-UA"/>
              </w:rPr>
              <w:t>63,61</w:t>
            </w:r>
          </w:p>
        </w:tc>
        <w:tc>
          <w:tcPr>
            <w:tcW w:w="773" w:type="pct"/>
            <w:tcBorders>
              <w:top w:val="nil"/>
              <w:left w:val="nil"/>
              <w:bottom w:val="single" w:sz="4" w:space="0" w:color="auto"/>
              <w:right w:val="single" w:sz="4" w:space="0" w:color="auto"/>
            </w:tcBorders>
            <w:noWrap/>
            <w:vAlign w:val="center"/>
          </w:tcPr>
          <w:p w14:paraId="1E1456AB" w14:textId="6E214EA6" w:rsidR="00985AAC" w:rsidRPr="0070468D" w:rsidRDefault="00985AAC" w:rsidP="007D62F5">
            <w:pPr>
              <w:jc w:val="center"/>
              <w:rPr>
                <w:lang w:eastAsia="uk-UA"/>
              </w:rPr>
            </w:pPr>
            <w:r>
              <w:rPr>
                <w:lang w:eastAsia="uk-UA"/>
              </w:rPr>
              <w:t>11,14</w:t>
            </w:r>
          </w:p>
        </w:tc>
      </w:tr>
      <w:tr w:rsidR="0044172F" w:rsidRPr="0070468D" w14:paraId="7703B617" w14:textId="77777777" w:rsidTr="0044172F">
        <w:trPr>
          <w:trHeight w:val="315"/>
          <w:jc w:val="center"/>
        </w:trPr>
        <w:tc>
          <w:tcPr>
            <w:tcW w:w="883" w:type="pct"/>
            <w:tcBorders>
              <w:top w:val="nil"/>
              <w:left w:val="single" w:sz="4" w:space="0" w:color="auto"/>
              <w:bottom w:val="single" w:sz="4" w:space="0" w:color="auto"/>
              <w:right w:val="single" w:sz="4" w:space="0" w:color="auto"/>
            </w:tcBorders>
            <w:noWrap/>
            <w:vAlign w:val="center"/>
          </w:tcPr>
          <w:p w14:paraId="771EC67D" w14:textId="5349A46A" w:rsidR="00985AAC" w:rsidRPr="0070468D" w:rsidRDefault="00985AAC" w:rsidP="007D62F5">
            <w:pPr>
              <w:rPr>
                <w:lang w:eastAsia="uk-UA"/>
              </w:rPr>
            </w:pPr>
            <w:r w:rsidRPr="0070468D">
              <w:rPr>
                <w:lang w:eastAsia="uk-UA"/>
              </w:rPr>
              <w:t>Тариф 1м³ з ПДВ</w:t>
            </w:r>
          </w:p>
        </w:tc>
        <w:tc>
          <w:tcPr>
            <w:tcW w:w="571" w:type="pct"/>
            <w:tcBorders>
              <w:top w:val="single" w:sz="4" w:space="0" w:color="auto"/>
              <w:left w:val="nil"/>
              <w:bottom w:val="single" w:sz="4" w:space="0" w:color="auto"/>
              <w:right w:val="single" w:sz="4" w:space="0" w:color="auto"/>
            </w:tcBorders>
            <w:vAlign w:val="center"/>
          </w:tcPr>
          <w:p w14:paraId="68A7A4DA" w14:textId="7104734C" w:rsidR="00985AAC" w:rsidRPr="0070468D" w:rsidRDefault="00985AAC" w:rsidP="007D62F5">
            <w:pPr>
              <w:jc w:val="center"/>
              <w:rPr>
                <w:lang w:eastAsia="uk-UA"/>
              </w:rPr>
            </w:pPr>
            <w:r>
              <w:rPr>
                <w:lang w:eastAsia="uk-UA"/>
              </w:rPr>
              <w:t>60,00</w:t>
            </w:r>
          </w:p>
        </w:tc>
        <w:tc>
          <w:tcPr>
            <w:tcW w:w="373" w:type="pct"/>
            <w:tcBorders>
              <w:top w:val="nil"/>
              <w:left w:val="single" w:sz="4" w:space="0" w:color="auto"/>
              <w:bottom w:val="single" w:sz="4" w:space="0" w:color="auto"/>
              <w:right w:val="single" w:sz="4" w:space="0" w:color="auto"/>
            </w:tcBorders>
            <w:noWrap/>
            <w:vAlign w:val="center"/>
          </w:tcPr>
          <w:p w14:paraId="72B19B13" w14:textId="06536686" w:rsidR="00985AAC" w:rsidRPr="0070468D" w:rsidRDefault="00985AAC" w:rsidP="005A1728">
            <w:pPr>
              <w:ind w:left="-147" w:right="-162"/>
              <w:jc w:val="center"/>
              <w:rPr>
                <w:lang w:eastAsia="uk-UA"/>
              </w:rPr>
            </w:pPr>
            <w:r>
              <w:rPr>
                <w:lang w:eastAsia="uk-UA"/>
              </w:rPr>
              <w:t>74,64</w:t>
            </w:r>
          </w:p>
        </w:tc>
        <w:tc>
          <w:tcPr>
            <w:tcW w:w="344" w:type="pct"/>
            <w:tcBorders>
              <w:top w:val="single" w:sz="4" w:space="0" w:color="auto"/>
              <w:left w:val="nil"/>
              <w:bottom w:val="single" w:sz="4" w:space="0" w:color="auto"/>
              <w:right w:val="single" w:sz="4" w:space="0" w:color="auto"/>
            </w:tcBorders>
            <w:vAlign w:val="center"/>
          </w:tcPr>
          <w:p w14:paraId="37A3AF73" w14:textId="05A987E9" w:rsidR="00985AAC" w:rsidRPr="0070468D" w:rsidRDefault="00985AAC" w:rsidP="00560891">
            <w:pPr>
              <w:ind w:left="-107" w:right="-113"/>
              <w:jc w:val="center"/>
              <w:rPr>
                <w:lang w:eastAsia="uk-UA"/>
              </w:rPr>
            </w:pPr>
            <w:r>
              <w:rPr>
                <w:lang w:eastAsia="uk-UA"/>
              </w:rPr>
              <w:t>136,86</w:t>
            </w:r>
          </w:p>
        </w:tc>
        <w:tc>
          <w:tcPr>
            <w:tcW w:w="361" w:type="pct"/>
            <w:tcBorders>
              <w:top w:val="single" w:sz="4" w:space="0" w:color="auto"/>
              <w:left w:val="single" w:sz="4" w:space="0" w:color="auto"/>
              <w:bottom w:val="single" w:sz="4" w:space="0" w:color="auto"/>
              <w:right w:val="single" w:sz="4" w:space="0" w:color="auto"/>
            </w:tcBorders>
            <w:vAlign w:val="center"/>
          </w:tcPr>
          <w:p w14:paraId="589A7E1D" w14:textId="096596ED" w:rsidR="00985AAC" w:rsidRPr="0070468D" w:rsidRDefault="00985AAC" w:rsidP="00560891">
            <w:pPr>
              <w:ind w:left="-111" w:right="-110"/>
              <w:jc w:val="center"/>
              <w:rPr>
                <w:lang w:eastAsia="uk-UA"/>
              </w:rPr>
            </w:pPr>
            <w:r>
              <w:rPr>
                <w:lang w:eastAsia="uk-UA"/>
              </w:rPr>
              <w:t>141,90</w:t>
            </w:r>
          </w:p>
        </w:tc>
        <w:tc>
          <w:tcPr>
            <w:tcW w:w="423" w:type="pct"/>
            <w:tcBorders>
              <w:top w:val="single" w:sz="4" w:space="0" w:color="auto"/>
              <w:left w:val="single" w:sz="4" w:space="0" w:color="auto"/>
              <w:bottom w:val="single" w:sz="4" w:space="0" w:color="auto"/>
              <w:right w:val="single" w:sz="4" w:space="0" w:color="auto"/>
            </w:tcBorders>
            <w:vAlign w:val="center"/>
          </w:tcPr>
          <w:p w14:paraId="7E76A3D2" w14:textId="2141EE0E" w:rsidR="00985AAC" w:rsidRPr="0070468D" w:rsidRDefault="00985AAC" w:rsidP="00985AAC">
            <w:pPr>
              <w:ind w:left="-116" w:right="-104"/>
              <w:jc w:val="center"/>
              <w:rPr>
                <w:lang w:eastAsia="uk-UA"/>
              </w:rPr>
            </w:pPr>
            <w:r>
              <w:rPr>
                <w:lang w:eastAsia="uk-UA"/>
              </w:rPr>
              <w:t>168,78</w:t>
            </w:r>
          </w:p>
        </w:tc>
        <w:tc>
          <w:tcPr>
            <w:tcW w:w="636" w:type="pct"/>
            <w:tcBorders>
              <w:top w:val="nil"/>
              <w:left w:val="single" w:sz="4" w:space="0" w:color="auto"/>
              <w:bottom w:val="single" w:sz="4" w:space="0" w:color="auto"/>
              <w:right w:val="single" w:sz="4" w:space="0" w:color="auto"/>
            </w:tcBorders>
            <w:vAlign w:val="center"/>
          </w:tcPr>
          <w:p w14:paraId="78A1FC4C" w14:textId="711CCB15" w:rsidR="00985AAC" w:rsidRDefault="000563DC" w:rsidP="00985AAC">
            <w:pPr>
              <w:ind w:left="-103" w:right="-107"/>
              <w:jc w:val="center"/>
              <w:rPr>
                <w:lang w:eastAsia="uk-UA"/>
              </w:rPr>
            </w:pPr>
            <w:r>
              <w:rPr>
                <w:lang w:eastAsia="uk-UA"/>
              </w:rPr>
              <w:t>220,74</w:t>
            </w:r>
          </w:p>
        </w:tc>
        <w:tc>
          <w:tcPr>
            <w:tcW w:w="636" w:type="pct"/>
            <w:tcBorders>
              <w:top w:val="nil"/>
              <w:left w:val="single" w:sz="4" w:space="0" w:color="auto"/>
              <w:bottom w:val="single" w:sz="4" w:space="0" w:color="auto"/>
              <w:right w:val="single" w:sz="4" w:space="0" w:color="auto"/>
            </w:tcBorders>
            <w:noWrap/>
            <w:vAlign w:val="center"/>
          </w:tcPr>
          <w:p w14:paraId="229716E0" w14:textId="1EE2AA0A" w:rsidR="00985AAC" w:rsidRPr="0070468D" w:rsidRDefault="00985AAC" w:rsidP="007D62F5">
            <w:pPr>
              <w:jc w:val="center"/>
              <w:rPr>
                <w:lang w:eastAsia="uk-UA"/>
              </w:rPr>
            </w:pPr>
            <w:r>
              <w:rPr>
                <w:lang w:eastAsia="uk-UA"/>
              </w:rPr>
              <w:t>381,66</w:t>
            </w:r>
          </w:p>
        </w:tc>
        <w:tc>
          <w:tcPr>
            <w:tcW w:w="773" w:type="pct"/>
            <w:tcBorders>
              <w:top w:val="nil"/>
              <w:left w:val="nil"/>
              <w:bottom w:val="single" w:sz="4" w:space="0" w:color="auto"/>
              <w:right w:val="single" w:sz="4" w:space="0" w:color="auto"/>
            </w:tcBorders>
            <w:noWrap/>
            <w:vAlign w:val="center"/>
          </w:tcPr>
          <w:p w14:paraId="1955434E" w14:textId="46A96CF3" w:rsidR="00985AAC" w:rsidRPr="0070468D" w:rsidRDefault="00985AAC" w:rsidP="007D62F5">
            <w:pPr>
              <w:jc w:val="center"/>
              <w:rPr>
                <w:lang w:eastAsia="uk-UA"/>
              </w:rPr>
            </w:pPr>
            <w:r>
              <w:rPr>
                <w:lang w:eastAsia="uk-UA"/>
              </w:rPr>
              <w:t>66,84</w:t>
            </w:r>
          </w:p>
        </w:tc>
      </w:tr>
      <w:tr w:rsidR="0044172F" w:rsidRPr="0070468D" w14:paraId="448280BD" w14:textId="77777777" w:rsidTr="0044172F">
        <w:trPr>
          <w:trHeight w:val="315"/>
          <w:jc w:val="center"/>
        </w:trPr>
        <w:tc>
          <w:tcPr>
            <w:tcW w:w="883" w:type="pct"/>
            <w:tcBorders>
              <w:top w:val="nil"/>
              <w:left w:val="single" w:sz="4" w:space="0" w:color="auto"/>
              <w:bottom w:val="single" w:sz="4" w:space="0" w:color="auto"/>
              <w:right w:val="single" w:sz="4" w:space="0" w:color="auto"/>
            </w:tcBorders>
            <w:noWrap/>
            <w:vAlign w:val="center"/>
          </w:tcPr>
          <w:p w14:paraId="646D7761" w14:textId="77777777" w:rsidR="00985AAC" w:rsidRPr="0070468D" w:rsidRDefault="00985AAC" w:rsidP="007D62F5">
            <w:pPr>
              <w:rPr>
                <w:lang w:eastAsia="uk-UA"/>
              </w:rPr>
            </w:pPr>
            <w:r w:rsidRPr="0070468D">
              <w:rPr>
                <w:lang w:eastAsia="uk-UA"/>
              </w:rPr>
              <w:t> </w:t>
            </w:r>
          </w:p>
        </w:tc>
        <w:tc>
          <w:tcPr>
            <w:tcW w:w="571" w:type="pct"/>
            <w:tcBorders>
              <w:top w:val="single" w:sz="4" w:space="0" w:color="auto"/>
              <w:left w:val="nil"/>
              <w:bottom w:val="single" w:sz="4" w:space="0" w:color="auto"/>
              <w:right w:val="single" w:sz="4" w:space="0" w:color="auto"/>
            </w:tcBorders>
            <w:vAlign w:val="center"/>
          </w:tcPr>
          <w:p w14:paraId="0C1CB100" w14:textId="77777777" w:rsidR="00985AAC" w:rsidRPr="0070468D" w:rsidRDefault="00985AAC" w:rsidP="007D62F5">
            <w:pPr>
              <w:jc w:val="center"/>
              <w:rPr>
                <w:lang w:eastAsia="uk-UA"/>
              </w:rPr>
            </w:pPr>
          </w:p>
        </w:tc>
        <w:tc>
          <w:tcPr>
            <w:tcW w:w="373" w:type="pct"/>
            <w:tcBorders>
              <w:top w:val="nil"/>
              <w:left w:val="single" w:sz="4" w:space="0" w:color="auto"/>
              <w:bottom w:val="single" w:sz="4" w:space="0" w:color="auto"/>
              <w:right w:val="single" w:sz="4" w:space="0" w:color="auto"/>
            </w:tcBorders>
            <w:noWrap/>
            <w:vAlign w:val="center"/>
          </w:tcPr>
          <w:p w14:paraId="5689BB26" w14:textId="026C343D" w:rsidR="00985AAC" w:rsidRPr="0070468D" w:rsidRDefault="00985AAC" w:rsidP="007D62F5">
            <w:pPr>
              <w:jc w:val="center"/>
              <w:rPr>
                <w:lang w:eastAsia="uk-UA"/>
              </w:rPr>
            </w:pPr>
            <w:r w:rsidRPr="0070468D">
              <w:rPr>
                <w:lang w:eastAsia="uk-UA"/>
              </w:rPr>
              <w:t> </w:t>
            </w:r>
          </w:p>
        </w:tc>
        <w:tc>
          <w:tcPr>
            <w:tcW w:w="344" w:type="pct"/>
            <w:tcBorders>
              <w:top w:val="single" w:sz="4" w:space="0" w:color="auto"/>
              <w:left w:val="nil"/>
              <w:bottom w:val="single" w:sz="4" w:space="0" w:color="auto"/>
              <w:right w:val="single" w:sz="4" w:space="0" w:color="auto"/>
            </w:tcBorders>
            <w:vAlign w:val="center"/>
          </w:tcPr>
          <w:p w14:paraId="0318BBE5" w14:textId="77777777" w:rsidR="00985AAC" w:rsidRPr="0070468D" w:rsidRDefault="00985AAC" w:rsidP="007D62F5">
            <w:pPr>
              <w:jc w:val="center"/>
              <w:rPr>
                <w:lang w:eastAsia="uk-UA"/>
              </w:rPr>
            </w:pPr>
          </w:p>
        </w:tc>
        <w:tc>
          <w:tcPr>
            <w:tcW w:w="361" w:type="pct"/>
            <w:tcBorders>
              <w:top w:val="single" w:sz="4" w:space="0" w:color="auto"/>
              <w:left w:val="single" w:sz="4" w:space="0" w:color="auto"/>
              <w:bottom w:val="single" w:sz="4" w:space="0" w:color="auto"/>
              <w:right w:val="single" w:sz="4" w:space="0" w:color="auto"/>
            </w:tcBorders>
            <w:vAlign w:val="center"/>
          </w:tcPr>
          <w:p w14:paraId="215E1DEF" w14:textId="77777777" w:rsidR="00985AAC" w:rsidRPr="0070468D" w:rsidRDefault="00985AAC" w:rsidP="00560891">
            <w:pPr>
              <w:ind w:left="-111" w:right="-42"/>
              <w:jc w:val="center"/>
              <w:rPr>
                <w:lang w:eastAsia="uk-UA"/>
              </w:rPr>
            </w:pPr>
          </w:p>
        </w:tc>
        <w:tc>
          <w:tcPr>
            <w:tcW w:w="423" w:type="pct"/>
            <w:tcBorders>
              <w:top w:val="single" w:sz="4" w:space="0" w:color="auto"/>
              <w:left w:val="single" w:sz="4" w:space="0" w:color="auto"/>
              <w:bottom w:val="single" w:sz="4" w:space="0" w:color="auto"/>
              <w:right w:val="single" w:sz="4" w:space="0" w:color="auto"/>
            </w:tcBorders>
            <w:vAlign w:val="center"/>
          </w:tcPr>
          <w:p w14:paraId="10C29B79" w14:textId="77777777" w:rsidR="00985AAC" w:rsidRPr="0070468D" w:rsidRDefault="00985AAC" w:rsidP="007D62F5">
            <w:pPr>
              <w:jc w:val="center"/>
              <w:rPr>
                <w:lang w:eastAsia="uk-UA"/>
              </w:rPr>
            </w:pPr>
          </w:p>
        </w:tc>
        <w:tc>
          <w:tcPr>
            <w:tcW w:w="636" w:type="pct"/>
            <w:tcBorders>
              <w:top w:val="nil"/>
              <w:left w:val="single" w:sz="4" w:space="0" w:color="auto"/>
              <w:bottom w:val="single" w:sz="4" w:space="0" w:color="auto"/>
              <w:right w:val="single" w:sz="4" w:space="0" w:color="auto"/>
            </w:tcBorders>
            <w:vAlign w:val="center"/>
          </w:tcPr>
          <w:p w14:paraId="653F6183" w14:textId="77777777" w:rsidR="00985AAC" w:rsidRPr="0070468D" w:rsidRDefault="00985AAC" w:rsidP="00985AAC">
            <w:pPr>
              <w:ind w:left="-103" w:right="-107"/>
              <w:jc w:val="center"/>
              <w:rPr>
                <w:lang w:eastAsia="uk-UA"/>
              </w:rPr>
            </w:pPr>
          </w:p>
        </w:tc>
        <w:tc>
          <w:tcPr>
            <w:tcW w:w="636" w:type="pct"/>
            <w:tcBorders>
              <w:top w:val="nil"/>
              <w:left w:val="single" w:sz="4" w:space="0" w:color="auto"/>
              <w:bottom w:val="single" w:sz="4" w:space="0" w:color="auto"/>
              <w:right w:val="single" w:sz="4" w:space="0" w:color="auto"/>
            </w:tcBorders>
            <w:noWrap/>
            <w:vAlign w:val="center"/>
          </w:tcPr>
          <w:p w14:paraId="7CDD84C1" w14:textId="7958F86D" w:rsidR="00985AAC" w:rsidRPr="0070468D" w:rsidRDefault="00985AAC" w:rsidP="007D62F5">
            <w:pPr>
              <w:jc w:val="center"/>
              <w:rPr>
                <w:lang w:eastAsia="uk-UA"/>
              </w:rPr>
            </w:pPr>
            <w:r w:rsidRPr="0070468D">
              <w:rPr>
                <w:lang w:eastAsia="uk-UA"/>
              </w:rPr>
              <w:t> </w:t>
            </w:r>
          </w:p>
        </w:tc>
        <w:tc>
          <w:tcPr>
            <w:tcW w:w="773" w:type="pct"/>
            <w:tcBorders>
              <w:top w:val="nil"/>
              <w:left w:val="nil"/>
              <w:bottom w:val="single" w:sz="4" w:space="0" w:color="auto"/>
              <w:right w:val="single" w:sz="4" w:space="0" w:color="auto"/>
            </w:tcBorders>
            <w:noWrap/>
            <w:vAlign w:val="center"/>
          </w:tcPr>
          <w:p w14:paraId="593AEC27" w14:textId="77777777" w:rsidR="00985AAC" w:rsidRPr="0070468D" w:rsidRDefault="00985AAC" w:rsidP="007D62F5">
            <w:pPr>
              <w:jc w:val="center"/>
              <w:rPr>
                <w:lang w:eastAsia="uk-UA"/>
              </w:rPr>
            </w:pPr>
            <w:r w:rsidRPr="0070468D">
              <w:rPr>
                <w:lang w:eastAsia="uk-UA"/>
              </w:rPr>
              <w:t> </w:t>
            </w:r>
          </w:p>
        </w:tc>
      </w:tr>
      <w:tr w:rsidR="0044172F" w:rsidRPr="00483AB2" w14:paraId="0E1E9B78" w14:textId="77777777" w:rsidTr="0044172F">
        <w:trPr>
          <w:trHeight w:val="520"/>
          <w:jc w:val="center"/>
        </w:trPr>
        <w:tc>
          <w:tcPr>
            <w:tcW w:w="883" w:type="pct"/>
            <w:tcBorders>
              <w:top w:val="nil"/>
              <w:left w:val="single" w:sz="4" w:space="0" w:color="auto"/>
              <w:bottom w:val="single" w:sz="4" w:space="0" w:color="auto"/>
              <w:right w:val="single" w:sz="4" w:space="0" w:color="auto"/>
            </w:tcBorders>
            <w:noWrap/>
            <w:vAlign w:val="center"/>
          </w:tcPr>
          <w:p w14:paraId="5D91B411" w14:textId="45022641" w:rsidR="00985AAC" w:rsidRPr="0070468D" w:rsidRDefault="00985AAC" w:rsidP="00BD34C9">
            <w:pPr>
              <w:ind w:right="-36"/>
              <w:rPr>
                <w:lang w:eastAsia="uk-UA"/>
              </w:rPr>
            </w:pPr>
            <w:r w:rsidRPr="0070468D">
              <w:rPr>
                <w:lang w:eastAsia="uk-UA"/>
              </w:rPr>
              <w:t>Діючий тариф</w:t>
            </w:r>
          </w:p>
        </w:tc>
        <w:tc>
          <w:tcPr>
            <w:tcW w:w="944" w:type="pct"/>
            <w:gridSpan w:val="2"/>
            <w:tcBorders>
              <w:top w:val="nil"/>
              <w:left w:val="nil"/>
              <w:bottom w:val="single" w:sz="4" w:space="0" w:color="auto"/>
              <w:right w:val="single" w:sz="4" w:space="0" w:color="auto"/>
            </w:tcBorders>
            <w:shd w:val="clear" w:color="auto" w:fill="auto"/>
            <w:vAlign w:val="center"/>
          </w:tcPr>
          <w:p w14:paraId="39B5CF1C" w14:textId="43BF0041" w:rsidR="00985AAC" w:rsidRPr="00483AB2" w:rsidRDefault="00985AAC" w:rsidP="007D62F5">
            <w:pPr>
              <w:jc w:val="center"/>
              <w:rPr>
                <w:lang w:eastAsia="uk-UA"/>
              </w:rPr>
            </w:pPr>
            <w:r w:rsidRPr="00483AB2">
              <w:rPr>
                <w:lang w:eastAsia="uk-UA"/>
              </w:rPr>
              <w:t>94,44</w:t>
            </w:r>
          </w:p>
        </w:tc>
        <w:tc>
          <w:tcPr>
            <w:tcW w:w="344" w:type="pct"/>
            <w:tcBorders>
              <w:top w:val="single" w:sz="4" w:space="0" w:color="auto"/>
              <w:left w:val="nil"/>
              <w:bottom w:val="single" w:sz="4" w:space="0" w:color="auto"/>
              <w:right w:val="single" w:sz="4" w:space="0" w:color="auto"/>
            </w:tcBorders>
            <w:shd w:val="clear" w:color="auto" w:fill="auto"/>
            <w:vAlign w:val="center"/>
          </w:tcPr>
          <w:p w14:paraId="2CED860B" w14:textId="742FEE66" w:rsidR="00985AAC" w:rsidRPr="00483AB2" w:rsidRDefault="00985AAC" w:rsidP="00560891">
            <w:pPr>
              <w:ind w:left="-107" w:right="-106"/>
              <w:jc w:val="center"/>
              <w:rPr>
                <w:lang w:eastAsia="uk-UA"/>
              </w:rPr>
            </w:pPr>
            <w:r w:rsidRPr="00483AB2">
              <w:rPr>
                <w:lang w:eastAsia="uk-UA"/>
              </w:rPr>
              <w:t>94,44</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05807C64" w14:textId="27B23DCB" w:rsidR="00985AAC" w:rsidRPr="00483AB2" w:rsidRDefault="00985AAC" w:rsidP="00560891">
            <w:pPr>
              <w:ind w:left="-103" w:right="-110"/>
              <w:jc w:val="center"/>
              <w:rPr>
                <w:lang w:eastAsia="uk-UA"/>
              </w:rPr>
            </w:pPr>
            <w:r w:rsidRPr="00483AB2">
              <w:rPr>
                <w:lang w:eastAsia="uk-UA"/>
              </w:rPr>
              <w:t>94,44</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0673C21B" w14:textId="5CEC76F9" w:rsidR="00985AAC" w:rsidRPr="00483AB2" w:rsidRDefault="00985AAC" w:rsidP="007D62F5">
            <w:pPr>
              <w:jc w:val="center"/>
              <w:rPr>
                <w:lang w:eastAsia="uk-UA"/>
              </w:rPr>
            </w:pPr>
            <w:r w:rsidRPr="00483AB2">
              <w:rPr>
                <w:lang w:eastAsia="uk-UA"/>
              </w:rPr>
              <w:t>94,44</w:t>
            </w:r>
          </w:p>
        </w:tc>
        <w:tc>
          <w:tcPr>
            <w:tcW w:w="636" w:type="pct"/>
            <w:tcBorders>
              <w:top w:val="nil"/>
              <w:left w:val="single" w:sz="4" w:space="0" w:color="auto"/>
              <w:bottom w:val="single" w:sz="4" w:space="0" w:color="auto"/>
              <w:right w:val="single" w:sz="4" w:space="0" w:color="auto"/>
            </w:tcBorders>
            <w:vAlign w:val="center"/>
          </w:tcPr>
          <w:p w14:paraId="708C25A1" w14:textId="51317659" w:rsidR="00985AAC" w:rsidRPr="00483AB2" w:rsidRDefault="000563DC" w:rsidP="00985AAC">
            <w:pPr>
              <w:ind w:left="-103" w:right="-107"/>
              <w:jc w:val="center"/>
              <w:rPr>
                <w:lang w:eastAsia="uk-UA"/>
              </w:rPr>
            </w:pPr>
            <w:r>
              <w:rPr>
                <w:lang w:eastAsia="uk-UA"/>
              </w:rPr>
              <w:t>170,88</w:t>
            </w:r>
          </w:p>
        </w:tc>
        <w:tc>
          <w:tcPr>
            <w:tcW w:w="636" w:type="pct"/>
            <w:tcBorders>
              <w:top w:val="nil"/>
              <w:left w:val="single" w:sz="4" w:space="0" w:color="auto"/>
              <w:bottom w:val="single" w:sz="4" w:space="0" w:color="auto"/>
              <w:right w:val="single" w:sz="4" w:space="0" w:color="auto"/>
            </w:tcBorders>
            <w:shd w:val="clear" w:color="auto" w:fill="auto"/>
            <w:noWrap/>
            <w:vAlign w:val="center"/>
          </w:tcPr>
          <w:p w14:paraId="0ED74456" w14:textId="4B8CB86E" w:rsidR="00985AAC" w:rsidRPr="00483AB2" w:rsidRDefault="00985AAC" w:rsidP="007D62F5">
            <w:pPr>
              <w:jc w:val="center"/>
              <w:rPr>
                <w:lang w:eastAsia="uk-UA"/>
              </w:rPr>
            </w:pPr>
            <w:r w:rsidRPr="00483AB2">
              <w:rPr>
                <w:lang w:eastAsia="uk-UA"/>
              </w:rPr>
              <w:t>186,72</w:t>
            </w:r>
          </w:p>
        </w:tc>
        <w:tc>
          <w:tcPr>
            <w:tcW w:w="773" w:type="pct"/>
            <w:tcBorders>
              <w:top w:val="nil"/>
              <w:left w:val="nil"/>
              <w:bottom w:val="single" w:sz="4" w:space="0" w:color="auto"/>
              <w:right w:val="single" w:sz="4" w:space="0" w:color="auto"/>
            </w:tcBorders>
            <w:shd w:val="clear" w:color="auto" w:fill="auto"/>
            <w:noWrap/>
            <w:vAlign w:val="center"/>
          </w:tcPr>
          <w:p w14:paraId="73653E94" w14:textId="2481B382" w:rsidR="00985AAC" w:rsidRPr="00483AB2" w:rsidRDefault="00985AAC" w:rsidP="007D62F5">
            <w:pPr>
              <w:jc w:val="center"/>
              <w:rPr>
                <w:lang w:eastAsia="uk-UA"/>
              </w:rPr>
            </w:pPr>
            <w:r w:rsidRPr="00483AB2">
              <w:rPr>
                <w:lang w:eastAsia="uk-UA"/>
              </w:rPr>
              <w:t>52,20</w:t>
            </w:r>
          </w:p>
        </w:tc>
      </w:tr>
      <w:tr w:rsidR="0044172F" w:rsidRPr="0070468D" w14:paraId="4BE33B31" w14:textId="77777777" w:rsidTr="0044172F">
        <w:trPr>
          <w:trHeight w:val="570"/>
          <w:jc w:val="center"/>
        </w:trPr>
        <w:tc>
          <w:tcPr>
            <w:tcW w:w="883" w:type="pct"/>
            <w:tcBorders>
              <w:top w:val="nil"/>
              <w:left w:val="single" w:sz="4" w:space="0" w:color="auto"/>
              <w:bottom w:val="single" w:sz="4" w:space="0" w:color="auto"/>
              <w:right w:val="single" w:sz="4" w:space="0" w:color="auto"/>
            </w:tcBorders>
            <w:noWrap/>
            <w:vAlign w:val="center"/>
          </w:tcPr>
          <w:p w14:paraId="473F0D0E" w14:textId="77777777" w:rsidR="00985AAC" w:rsidRPr="0070468D" w:rsidRDefault="00985AAC" w:rsidP="007D62F5">
            <w:pPr>
              <w:rPr>
                <w:lang w:eastAsia="uk-UA"/>
              </w:rPr>
            </w:pPr>
            <w:r w:rsidRPr="0070468D">
              <w:rPr>
                <w:lang w:eastAsia="uk-UA"/>
              </w:rPr>
              <w:t>% підвищення</w:t>
            </w:r>
          </w:p>
        </w:tc>
        <w:tc>
          <w:tcPr>
            <w:tcW w:w="944" w:type="pct"/>
            <w:gridSpan w:val="2"/>
            <w:tcBorders>
              <w:top w:val="nil"/>
              <w:left w:val="nil"/>
              <w:bottom w:val="single" w:sz="4" w:space="0" w:color="auto"/>
              <w:right w:val="single" w:sz="4" w:space="0" w:color="auto"/>
            </w:tcBorders>
            <w:vAlign w:val="center"/>
          </w:tcPr>
          <w:p w14:paraId="58E4B058" w14:textId="36B0E2ED" w:rsidR="00985AAC" w:rsidRPr="0070468D" w:rsidRDefault="00985AAC" w:rsidP="00C16B1E">
            <w:pPr>
              <w:jc w:val="center"/>
              <w:rPr>
                <w:lang w:eastAsia="uk-UA"/>
              </w:rPr>
            </w:pPr>
            <w:r>
              <w:rPr>
                <w:lang w:eastAsia="uk-UA"/>
              </w:rPr>
              <w:t>142,6</w:t>
            </w:r>
          </w:p>
        </w:tc>
        <w:tc>
          <w:tcPr>
            <w:tcW w:w="344" w:type="pct"/>
            <w:tcBorders>
              <w:top w:val="single" w:sz="4" w:space="0" w:color="auto"/>
              <w:left w:val="nil"/>
              <w:bottom w:val="single" w:sz="4" w:space="0" w:color="auto"/>
              <w:right w:val="single" w:sz="4" w:space="0" w:color="auto"/>
            </w:tcBorders>
            <w:vAlign w:val="center"/>
          </w:tcPr>
          <w:p w14:paraId="32C87BA4" w14:textId="4C3016C1" w:rsidR="00985AAC" w:rsidRPr="0070468D" w:rsidRDefault="00985AAC" w:rsidP="00560891">
            <w:pPr>
              <w:ind w:left="-107" w:right="-106"/>
              <w:jc w:val="center"/>
              <w:rPr>
                <w:lang w:eastAsia="uk-UA"/>
              </w:rPr>
            </w:pPr>
            <w:r>
              <w:rPr>
                <w:lang w:eastAsia="uk-UA"/>
              </w:rPr>
              <w:t>144,9</w:t>
            </w:r>
          </w:p>
        </w:tc>
        <w:tc>
          <w:tcPr>
            <w:tcW w:w="361" w:type="pct"/>
            <w:tcBorders>
              <w:top w:val="single" w:sz="4" w:space="0" w:color="auto"/>
              <w:left w:val="single" w:sz="4" w:space="0" w:color="auto"/>
              <w:bottom w:val="single" w:sz="4" w:space="0" w:color="auto"/>
              <w:right w:val="single" w:sz="4" w:space="0" w:color="auto"/>
            </w:tcBorders>
            <w:vAlign w:val="center"/>
          </w:tcPr>
          <w:p w14:paraId="431FEE4F" w14:textId="7FBB2283" w:rsidR="00985AAC" w:rsidRPr="0070468D" w:rsidRDefault="00985AAC" w:rsidP="00560891">
            <w:pPr>
              <w:ind w:left="-103" w:right="-110"/>
              <w:jc w:val="center"/>
              <w:rPr>
                <w:lang w:eastAsia="uk-UA"/>
              </w:rPr>
            </w:pPr>
            <w:r>
              <w:rPr>
                <w:lang w:eastAsia="uk-UA"/>
              </w:rPr>
              <w:t>150,3</w:t>
            </w:r>
          </w:p>
        </w:tc>
        <w:tc>
          <w:tcPr>
            <w:tcW w:w="423" w:type="pct"/>
            <w:tcBorders>
              <w:top w:val="single" w:sz="4" w:space="0" w:color="auto"/>
              <w:left w:val="single" w:sz="4" w:space="0" w:color="auto"/>
              <w:bottom w:val="single" w:sz="4" w:space="0" w:color="auto"/>
              <w:right w:val="single" w:sz="4" w:space="0" w:color="auto"/>
            </w:tcBorders>
            <w:vAlign w:val="center"/>
          </w:tcPr>
          <w:p w14:paraId="3498752E" w14:textId="67129F74" w:rsidR="00985AAC" w:rsidRPr="0070468D" w:rsidRDefault="00985AAC" w:rsidP="007D62F5">
            <w:pPr>
              <w:jc w:val="center"/>
              <w:rPr>
                <w:lang w:eastAsia="uk-UA"/>
              </w:rPr>
            </w:pPr>
            <w:r>
              <w:rPr>
                <w:lang w:eastAsia="uk-UA"/>
              </w:rPr>
              <w:t>178,7</w:t>
            </w:r>
          </w:p>
        </w:tc>
        <w:tc>
          <w:tcPr>
            <w:tcW w:w="636" w:type="pct"/>
            <w:tcBorders>
              <w:top w:val="nil"/>
              <w:left w:val="single" w:sz="4" w:space="0" w:color="auto"/>
              <w:bottom w:val="single" w:sz="4" w:space="0" w:color="auto"/>
              <w:right w:val="single" w:sz="4" w:space="0" w:color="auto"/>
            </w:tcBorders>
            <w:vAlign w:val="center"/>
          </w:tcPr>
          <w:p w14:paraId="6AACC5D2" w14:textId="31C90274" w:rsidR="00985AAC" w:rsidRDefault="000563DC" w:rsidP="00985AAC">
            <w:pPr>
              <w:ind w:left="-103" w:right="-107"/>
              <w:jc w:val="center"/>
              <w:rPr>
                <w:lang w:eastAsia="uk-UA"/>
              </w:rPr>
            </w:pPr>
            <w:r>
              <w:rPr>
                <w:lang w:eastAsia="uk-UA"/>
              </w:rPr>
              <w:t>129,2</w:t>
            </w:r>
          </w:p>
        </w:tc>
        <w:tc>
          <w:tcPr>
            <w:tcW w:w="636" w:type="pct"/>
            <w:tcBorders>
              <w:top w:val="nil"/>
              <w:left w:val="single" w:sz="4" w:space="0" w:color="auto"/>
              <w:bottom w:val="single" w:sz="4" w:space="0" w:color="auto"/>
              <w:right w:val="single" w:sz="4" w:space="0" w:color="auto"/>
            </w:tcBorders>
            <w:noWrap/>
            <w:vAlign w:val="center"/>
          </w:tcPr>
          <w:p w14:paraId="584E0D23" w14:textId="4B8C913E" w:rsidR="00985AAC" w:rsidRPr="0070468D" w:rsidRDefault="00985AAC" w:rsidP="007D62F5">
            <w:pPr>
              <w:jc w:val="center"/>
              <w:rPr>
                <w:lang w:eastAsia="uk-UA"/>
              </w:rPr>
            </w:pPr>
            <w:r>
              <w:rPr>
                <w:lang w:eastAsia="uk-UA"/>
              </w:rPr>
              <w:t>204,4</w:t>
            </w:r>
          </w:p>
        </w:tc>
        <w:tc>
          <w:tcPr>
            <w:tcW w:w="773" w:type="pct"/>
            <w:tcBorders>
              <w:top w:val="nil"/>
              <w:left w:val="nil"/>
              <w:bottom w:val="single" w:sz="4" w:space="0" w:color="auto"/>
              <w:right w:val="single" w:sz="4" w:space="0" w:color="auto"/>
            </w:tcBorders>
            <w:noWrap/>
            <w:vAlign w:val="center"/>
          </w:tcPr>
          <w:p w14:paraId="455AEA81" w14:textId="21DC65E8" w:rsidR="00985AAC" w:rsidRPr="0070468D" w:rsidRDefault="00985AAC" w:rsidP="007D62F5">
            <w:pPr>
              <w:jc w:val="center"/>
              <w:rPr>
                <w:lang w:eastAsia="uk-UA"/>
              </w:rPr>
            </w:pPr>
            <w:r w:rsidRPr="0070468D">
              <w:rPr>
                <w:lang w:eastAsia="uk-UA"/>
              </w:rPr>
              <w:t>1</w:t>
            </w:r>
            <w:r w:rsidR="00F329EB">
              <w:rPr>
                <w:lang w:eastAsia="uk-UA"/>
              </w:rPr>
              <w:t>28,0</w:t>
            </w:r>
          </w:p>
        </w:tc>
      </w:tr>
    </w:tbl>
    <w:p w14:paraId="62AAF2CF" w14:textId="77777777" w:rsidR="00F329EB" w:rsidRDefault="00F329EB" w:rsidP="00A60343">
      <w:pPr>
        <w:pStyle w:val="a3"/>
        <w:shd w:val="clear" w:color="auto" w:fill="FFFFFF"/>
        <w:spacing w:before="0" w:beforeAutospacing="0" w:after="0" w:afterAutospacing="0"/>
        <w:ind w:firstLine="708"/>
        <w:jc w:val="both"/>
        <w:rPr>
          <w:color w:val="000000"/>
          <w:sz w:val="28"/>
          <w:szCs w:val="28"/>
        </w:rPr>
      </w:pPr>
    </w:p>
    <w:p w14:paraId="4EF896E5" w14:textId="49231A0B" w:rsidR="00A60343" w:rsidRPr="0070468D" w:rsidRDefault="00A60343" w:rsidP="00A60343">
      <w:pPr>
        <w:pStyle w:val="a3"/>
        <w:shd w:val="clear" w:color="auto" w:fill="FFFFFF"/>
        <w:spacing w:before="0" w:beforeAutospacing="0" w:after="0" w:afterAutospacing="0"/>
        <w:ind w:firstLine="708"/>
        <w:jc w:val="both"/>
        <w:rPr>
          <w:color w:val="000000"/>
          <w:sz w:val="28"/>
          <w:szCs w:val="28"/>
        </w:rPr>
      </w:pPr>
      <w:r w:rsidRPr="0070468D">
        <w:rPr>
          <w:color w:val="000000"/>
          <w:sz w:val="28"/>
          <w:szCs w:val="28"/>
        </w:rPr>
        <w:t xml:space="preserve">Діючі тарифи на послуги з поводження з побутовими відходами були затверджені рішеннями виконавчого комітету Чернігівської міської ради від 28 травня 2019 року № 208 «Про внесення змін до рішення виконавчого комітету міської ради від 11 травня 2018 року № 189 «Про встановлення тарифів на послуги з поводження з побутовими відходами», від 20 грудня 2019 </w:t>
      </w:r>
      <w:r w:rsidRPr="0070468D">
        <w:rPr>
          <w:color w:val="000000"/>
          <w:sz w:val="28"/>
          <w:szCs w:val="28"/>
        </w:rPr>
        <w:lastRenderedPageBreak/>
        <w:t>року  № 531 «Про внесення змін до рішення виконавчого комітету міської ради від 11 травня 2018 року № 189 «Про встановлення тарифів на послуги з поводження з побутовими відходами».</w:t>
      </w:r>
    </w:p>
    <w:p w14:paraId="6DDD454F" w14:textId="0FED3A58" w:rsidR="00A60343" w:rsidRPr="0070468D" w:rsidRDefault="00A60343" w:rsidP="00A60343">
      <w:pPr>
        <w:ind w:firstLine="709"/>
        <w:jc w:val="both"/>
        <w:rPr>
          <w:sz w:val="28"/>
          <w:szCs w:val="28"/>
        </w:rPr>
      </w:pPr>
      <w:r w:rsidRPr="0070468D">
        <w:rPr>
          <w:sz w:val="28"/>
          <w:szCs w:val="28"/>
        </w:rPr>
        <w:t xml:space="preserve">Розрахунки тарифів виконані у відповідності з </w:t>
      </w:r>
      <w:r w:rsidR="00383D1F" w:rsidRPr="0070468D">
        <w:rPr>
          <w:sz w:val="28"/>
          <w:szCs w:val="28"/>
        </w:rPr>
        <w:t xml:space="preserve">Постановою КМ України» від 26.09.2023 р. №1031 </w:t>
      </w:r>
      <w:r w:rsidRPr="0070468D">
        <w:rPr>
          <w:sz w:val="28"/>
          <w:szCs w:val="28"/>
        </w:rPr>
        <w:t>«</w:t>
      </w:r>
      <w:r w:rsidR="00383D1F" w:rsidRPr="0070468D">
        <w:rPr>
          <w:sz w:val="28"/>
          <w:szCs w:val="28"/>
        </w:rPr>
        <w:t>Про затвердження Порядку формування середньозваженого тарифу на послугу з управління побутовими відходами, а також тарифів на збирання, перевезення, відновлення та видалення побутових відходів</w:t>
      </w:r>
      <w:r w:rsidRPr="0070468D">
        <w:rPr>
          <w:sz w:val="28"/>
          <w:szCs w:val="28"/>
        </w:rPr>
        <w:t>»</w:t>
      </w:r>
      <w:r w:rsidR="00383D1F" w:rsidRPr="0070468D">
        <w:rPr>
          <w:sz w:val="28"/>
          <w:szCs w:val="28"/>
        </w:rPr>
        <w:t>.</w:t>
      </w:r>
      <w:r w:rsidRPr="0070468D">
        <w:rPr>
          <w:sz w:val="28"/>
          <w:szCs w:val="28"/>
        </w:rPr>
        <w:t xml:space="preserve"> </w:t>
      </w:r>
    </w:p>
    <w:p w14:paraId="5CB8D28C" w14:textId="45EBDC4D" w:rsidR="00A60343" w:rsidRPr="0070468D" w:rsidRDefault="00383D1F" w:rsidP="00A60343">
      <w:pPr>
        <w:ind w:firstLine="709"/>
        <w:jc w:val="both"/>
        <w:rPr>
          <w:sz w:val="28"/>
          <w:szCs w:val="28"/>
        </w:rPr>
      </w:pPr>
      <w:r w:rsidRPr="0070468D">
        <w:rPr>
          <w:sz w:val="28"/>
          <w:szCs w:val="28"/>
        </w:rPr>
        <w:t>Встановлення тарифів</w:t>
      </w:r>
      <w:r w:rsidR="00A60343" w:rsidRPr="0070468D">
        <w:rPr>
          <w:sz w:val="28"/>
          <w:szCs w:val="28"/>
        </w:rPr>
        <w:t xml:space="preserve"> зумовлен</w:t>
      </w:r>
      <w:r w:rsidRPr="0070468D">
        <w:rPr>
          <w:sz w:val="28"/>
          <w:szCs w:val="28"/>
        </w:rPr>
        <w:t>о</w:t>
      </w:r>
      <w:r w:rsidR="00A60343" w:rsidRPr="0070468D">
        <w:rPr>
          <w:sz w:val="28"/>
          <w:szCs w:val="28"/>
        </w:rPr>
        <w:t xml:space="preserve"> </w:t>
      </w:r>
      <w:r w:rsidR="00183F82" w:rsidRPr="0070468D">
        <w:rPr>
          <w:sz w:val="28"/>
          <w:szCs w:val="28"/>
        </w:rPr>
        <w:t>набуттям чинності Законом України «Про управління відходами», визначенням виконавчим комітетом Чернігівської міської ради виконавця послуг з управління відходами у місті Чернігові та необхідністю встановлення виконавцю послуг тарифів на управління відходами.</w:t>
      </w:r>
    </w:p>
    <w:p w14:paraId="39721F99" w14:textId="3C757A53" w:rsidR="00A60343" w:rsidRPr="0070468D" w:rsidRDefault="00A60343" w:rsidP="00A60343">
      <w:pPr>
        <w:ind w:firstLine="709"/>
        <w:jc w:val="both"/>
        <w:rPr>
          <w:sz w:val="28"/>
          <w:szCs w:val="28"/>
        </w:rPr>
      </w:pPr>
      <w:r w:rsidRPr="0070468D">
        <w:rPr>
          <w:sz w:val="28"/>
          <w:szCs w:val="28"/>
        </w:rPr>
        <w:t>Базовим періодом для планування виробничих витрат є 202</w:t>
      </w:r>
      <w:r w:rsidR="00183F82" w:rsidRPr="0070468D">
        <w:rPr>
          <w:sz w:val="28"/>
          <w:szCs w:val="28"/>
        </w:rPr>
        <w:t>3</w:t>
      </w:r>
      <w:r w:rsidRPr="0070468D">
        <w:rPr>
          <w:sz w:val="28"/>
          <w:szCs w:val="28"/>
        </w:rPr>
        <w:t xml:space="preserve"> рік.</w:t>
      </w:r>
    </w:p>
    <w:p w14:paraId="6A330925" w14:textId="77777777" w:rsidR="00A60343" w:rsidRPr="0070468D" w:rsidRDefault="00A60343" w:rsidP="00A60343">
      <w:pPr>
        <w:ind w:firstLine="709"/>
        <w:jc w:val="both"/>
        <w:rPr>
          <w:sz w:val="28"/>
          <w:szCs w:val="28"/>
        </w:rPr>
      </w:pPr>
      <w:r w:rsidRPr="0070468D">
        <w:rPr>
          <w:sz w:val="28"/>
          <w:szCs w:val="28"/>
        </w:rPr>
        <w:t>За період дії існуючих тарифів відбулось збільшення вартості палива, електроенергії, автозапчастини, матеріалів, комплектуючих та комунальних послуг підприємства, підвищення мінімальної заробітної плати та інших складових витрат.</w:t>
      </w:r>
    </w:p>
    <w:p w14:paraId="05250E7E" w14:textId="0BA58C20" w:rsidR="00077F58" w:rsidRDefault="00A60343" w:rsidP="00A60343">
      <w:pPr>
        <w:ind w:firstLine="709"/>
        <w:jc w:val="both"/>
        <w:rPr>
          <w:sz w:val="28"/>
          <w:szCs w:val="28"/>
        </w:rPr>
      </w:pPr>
      <w:r w:rsidRPr="0070468D">
        <w:rPr>
          <w:sz w:val="28"/>
          <w:szCs w:val="28"/>
        </w:rPr>
        <w:t xml:space="preserve">Вартість послуги на 1 мешканця складе </w:t>
      </w:r>
      <w:r w:rsidR="00077F58">
        <w:rPr>
          <w:sz w:val="28"/>
          <w:szCs w:val="28"/>
        </w:rPr>
        <w:t>(</w:t>
      </w:r>
      <w:r w:rsidRPr="0070468D">
        <w:rPr>
          <w:sz w:val="28"/>
          <w:szCs w:val="28"/>
        </w:rPr>
        <w:t>грн. на місяць</w:t>
      </w:r>
      <w:r w:rsidR="00654F88">
        <w:rPr>
          <w:sz w:val="28"/>
          <w:szCs w:val="28"/>
        </w:rPr>
        <w:t xml:space="preserve"> без врахування плати за абонентське обслуговування</w:t>
      </w:r>
      <w:r w:rsidR="00077F58">
        <w:rPr>
          <w:sz w:val="28"/>
          <w:szCs w:val="28"/>
        </w:rPr>
        <w:t>):</w:t>
      </w:r>
    </w:p>
    <w:p w14:paraId="31CC8F70" w14:textId="222FC8C6" w:rsidR="00077F58" w:rsidRDefault="00077F58" w:rsidP="00077F58">
      <w:pPr>
        <w:pStyle w:val="a4"/>
        <w:numPr>
          <w:ilvl w:val="0"/>
          <w:numId w:val="1"/>
        </w:numPr>
        <w:jc w:val="both"/>
        <w:rPr>
          <w:sz w:val="28"/>
          <w:szCs w:val="28"/>
        </w:rPr>
      </w:pPr>
      <w:bookmarkStart w:id="0" w:name="_Hlk169620991"/>
      <w:r w:rsidRPr="00077F58">
        <w:rPr>
          <w:sz w:val="28"/>
          <w:szCs w:val="28"/>
        </w:rPr>
        <w:t>для мешканців</w:t>
      </w:r>
      <w:r w:rsidR="00EE7129">
        <w:rPr>
          <w:sz w:val="28"/>
          <w:szCs w:val="28"/>
        </w:rPr>
        <w:t xml:space="preserve"> багатоквартирних будинків</w:t>
      </w:r>
      <w:r w:rsidRPr="00077F58">
        <w:rPr>
          <w:sz w:val="28"/>
          <w:szCs w:val="28"/>
        </w:rPr>
        <w:t>, що обслуговуються за контейнерною системою</w:t>
      </w:r>
      <w:r w:rsidR="00EE7129">
        <w:rPr>
          <w:sz w:val="28"/>
          <w:szCs w:val="28"/>
        </w:rPr>
        <w:t>,</w:t>
      </w:r>
      <w:r>
        <w:rPr>
          <w:sz w:val="28"/>
          <w:szCs w:val="28"/>
        </w:rPr>
        <w:t xml:space="preserve"> </w:t>
      </w:r>
    </w:p>
    <w:bookmarkEnd w:id="0"/>
    <w:p w14:paraId="33829870" w14:textId="71CF632D" w:rsidR="00077F58" w:rsidRDefault="00957DA2" w:rsidP="00077F58">
      <w:pPr>
        <w:pStyle w:val="a4"/>
        <w:ind w:left="1069"/>
        <w:jc w:val="both"/>
        <w:rPr>
          <w:sz w:val="28"/>
          <w:szCs w:val="28"/>
        </w:rPr>
      </w:pPr>
      <w:r>
        <w:rPr>
          <w:sz w:val="28"/>
          <w:szCs w:val="28"/>
        </w:rPr>
        <w:t>з</w:t>
      </w:r>
      <w:r w:rsidR="00077F58">
        <w:rPr>
          <w:sz w:val="28"/>
          <w:szCs w:val="28"/>
        </w:rPr>
        <w:t xml:space="preserve"> контейнер</w:t>
      </w:r>
      <w:r>
        <w:rPr>
          <w:sz w:val="28"/>
          <w:szCs w:val="28"/>
        </w:rPr>
        <w:t>ами</w:t>
      </w:r>
      <w:r w:rsidR="00077F58">
        <w:rPr>
          <w:sz w:val="28"/>
          <w:szCs w:val="28"/>
        </w:rPr>
        <w:t xml:space="preserve"> 3,0 м3 –</w:t>
      </w:r>
      <w:r>
        <w:rPr>
          <w:sz w:val="28"/>
          <w:szCs w:val="28"/>
        </w:rPr>
        <w:t xml:space="preserve"> </w:t>
      </w:r>
      <w:r w:rsidR="00077F58">
        <w:rPr>
          <w:sz w:val="28"/>
          <w:szCs w:val="28"/>
        </w:rPr>
        <w:t xml:space="preserve"> 40,30 грн.</w:t>
      </w:r>
    </w:p>
    <w:p w14:paraId="3E4508A2" w14:textId="68C8C27F" w:rsidR="00EE7129" w:rsidRDefault="00957DA2" w:rsidP="00077F58">
      <w:pPr>
        <w:pStyle w:val="a4"/>
        <w:ind w:left="1069"/>
        <w:jc w:val="both"/>
        <w:rPr>
          <w:sz w:val="28"/>
          <w:szCs w:val="28"/>
        </w:rPr>
      </w:pPr>
      <w:r>
        <w:rPr>
          <w:sz w:val="28"/>
          <w:szCs w:val="28"/>
        </w:rPr>
        <w:t>з</w:t>
      </w:r>
      <w:r w:rsidR="00077F58">
        <w:rPr>
          <w:sz w:val="28"/>
          <w:szCs w:val="28"/>
        </w:rPr>
        <w:t xml:space="preserve"> контейнер</w:t>
      </w:r>
      <w:r>
        <w:rPr>
          <w:sz w:val="28"/>
          <w:szCs w:val="28"/>
        </w:rPr>
        <w:t>ами</w:t>
      </w:r>
      <w:r w:rsidR="00077F58">
        <w:rPr>
          <w:sz w:val="28"/>
          <w:szCs w:val="28"/>
        </w:rPr>
        <w:t xml:space="preserve"> 1,1 м3 </w:t>
      </w:r>
      <w:r w:rsidR="00EE7129">
        <w:rPr>
          <w:sz w:val="28"/>
          <w:szCs w:val="28"/>
        </w:rPr>
        <w:t>–</w:t>
      </w:r>
      <w:r w:rsidR="00077F58">
        <w:rPr>
          <w:sz w:val="28"/>
          <w:szCs w:val="28"/>
        </w:rPr>
        <w:t xml:space="preserve"> </w:t>
      </w:r>
      <w:r>
        <w:rPr>
          <w:sz w:val="28"/>
          <w:szCs w:val="28"/>
        </w:rPr>
        <w:t xml:space="preserve"> </w:t>
      </w:r>
      <w:r w:rsidR="00EE7129">
        <w:rPr>
          <w:sz w:val="28"/>
          <w:szCs w:val="28"/>
        </w:rPr>
        <w:t>40,68 грн.</w:t>
      </w:r>
    </w:p>
    <w:p w14:paraId="1947FC39" w14:textId="20E7B3D5" w:rsidR="00EE7129" w:rsidRDefault="00EE7129" w:rsidP="00077F58">
      <w:pPr>
        <w:pStyle w:val="a4"/>
        <w:ind w:left="1069"/>
        <w:jc w:val="both"/>
        <w:rPr>
          <w:sz w:val="28"/>
          <w:szCs w:val="28"/>
        </w:rPr>
      </w:pPr>
      <w:r>
        <w:rPr>
          <w:sz w:val="28"/>
          <w:szCs w:val="28"/>
        </w:rPr>
        <w:t>з</w:t>
      </w:r>
      <w:r w:rsidR="00957DA2">
        <w:rPr>
          <w:sz w:val="28"/>
          <w:szCs w:val="28"/>
        </w:rPr>
        <w:t xml:space="preserve"> ко</w:t>
      </w:r>
      <w:r>
        <w:rPr>
          <w:sz w:val="28"/>
          <w:szCs w:val="28"/>
        </w:rPr>
        <w:t>нтейнер</w:t>
      </w:r>
      <w:r w:rsidR="00957DA2">
        <w:rPr>
          <w:sz w:val="28"/>
          <w:szCs w:val="28"/>
        </w:rPr>
        <w:t>ами</w:t>
      </w:r>
      <w:r>
        <w:rPr>
          <w:sz w:val="28"/>
          <w:szCs w:val="28"/>
        </w:rPr>
        <w:t xml:space="preserve"> 0,75 м3 – 41,55 грн.;</w:t>
      </w:r>
    </w:p>
    <w:p w14:paraId="58B17F3F" w14:textId="4E437FA9" w:rsidR="00EE7129" w:rsidRDefault="00EE7129" w:rsidP="00EE7129">
      <w:pPr>
        <w:pStyle w:val="a4"/>
        <w:numPr>
          <w:ilvl w:val="0"/>
          <w:numId w:val="1"/>
        </w:numPr>
        <w:jc w:val="both"/>
        <w:rPr>
          <w:sz w:val="28"/>
          <w:szCs w:val="28"/>
        </w:rPr>
      </w:pPr>
      <w:r w:rsidRPr="00077F58">
        <w:rPr>
          <w:sz w:val="28"/>
          <w:szCs w:val="28"/>
        </w:rPr>
        <w:t>для мешканців</w:t>
      </w:r>
      <w:r>
        <w:rPr>
          <w:sz w:val="28"/>
          <w:szCs w:val="28"/>
        </w:rPr>
        <w:t xml:space="preserve"> багатоквартирних будинків</w:t>
      </w:r>
      <w:r w:rsidRPr="00077F58">
        <w:rPr>
          <w:sz w:val="28"/>
          <w:szCs w:val="28"/>
        </w:rPr>
        <w:t xml:space="preserve">, </w:t>
      </w:r>
      <w:bookmarkStart w:id="1" w:name="_Hlk169699917"/>
      <w:r w:rsidRPr="00077F58">
        <w:rPr>
          <w:sz w:val="28"/>
          <w:szCs w:val="28"/>
        </w:rPr>
        <w:t xml:space="preserve">що обслуговуються за </w:t>
      </w:r>
      <w:proofErr w:type="spellStart"/>
      <w:r>
        <w:rPr>
          <w:sz w:val="28"/>
          <w:szCs w:val="28"/>
        </w:rPr>
        <w:t>без</w:t>
      </w:r>
      <w:r w:rsidRPr="00077F58">
        <w:rPr>
          <w:sz w:val="28"/>
          <w:szCs w:val="28"/>
        </w:rPr>
        <w:t>контейнерною</w:t>
      </w:r>
      <w:proofErr w:type="spellEnd"/>
      <w:r w:rsidRPr="00077F58">
        <w:rPr>
          <w:sz w:val="28"/>
          <w:szCs w:val="28"/>
        </w:rPr>
        <w:t xml:space="preserve"> системою</w:t>
      </w:r>
      <w:r>
        <w:rPr>
          <w:sz w:val="28"/>
          <w:szCs w:val="28"/>
        </w:rPr>
        <w:t xml:space="preserve">, </w:t>
      </w:r>
      <w:bookmarkEnd w:id="1"/>
      <w:r>
        <w:rPr>
          <w:sz w:val="28"/>
          <w:szCs w:val="28"/>
        </w:rPr>
        <w:t>– 46,20 грн.;</w:t>
      </w:r>
    </w:p>
    <w:p w14:paraId="0A625249" w14:textId="1F27ADFA" w:rsidR="00EE7129" w:rsidRPr="00EE7129" w:rsidRDefault="00EE7129" w:rsidP="00EE7129">
      <w:pPr>
        <w:pStyle w:val="a4"/>
        <w:numPr>
          <w:ilvl w:val="0"/>
          <w:numId w:val="1"/>
        </w:numPr>
        <w:jc w:val="both"/>
        <w:rPr>
          <w:sz w:val="28"/>
          <w:szCs w:val="28"/>
        </w:rPr>
      </w:pPr>
      <w:r w:rsidRPr="00077F58">
        <w:rPr>
          <w:sz w:val="28"/>
          <w:szCs w:val="28"/>
        </w:rPr>
        <w:t>для мешканців</w:t>
      </w:r>
      <w:r>
        <w:rPr>
          <w:sz w:val="28"/>
          <w:szCs w:val="28"/>
        </w:rPr>
        <w:t xml:space="preserve"> приватного сектору</w:t>
      </w:r>
      <w:r w:rsidR="00957DA2">
        <w:rPr>
          <w:sz w:val="28"/>
          <w:szCs w:val="28"/>
        </w:rPr>
        <w:t>,</w:t>
      </w:r>
      <w:r w:rsidR="00957DA2" w:rsidRPr="00957DA2">
        <w:rPr>
          <w:sz w:val="28"/>
          <w:szCs w:val="28"/>
        </w:rPr>
        <w:t xml:space="preserve"> </w:t>
      </w:r>
      <w:r w:rsidR="00957DA2" w:rsidRPr="00077F58">
        <w:rPr>
          <w:sz w:val="28"/>
          <w:szCs w:val="28"/>
        </w:rPr>
        <w:t xml:space="preserve">що обслуговуються за </w:t>
      </w:r>
      <w:proofErr w:type="spellStart"/>
      <w:r w:rsidR="00957DA2">
        <w:rPr>
          <w:sz w:val="28"/>
          <w:szCs w:val="28"/>
        </w:rPr>
        <w:t>без</w:t>
      </w:r>
      <w:r w:rsidR="00957DA2" w:rsidRPr="00077F58">
        <w:rPr>
          <w:sz w:val="28"/>
          <w:szCs w:val="28"/>
        </w:rPr>
        <w:t>контейнерною</w:t>
      </w:r>
      <w:proofErr w:type="spellEnd"/>
      <w:r w:rsidR="00957DA2" w:rsidRPr="00077F58">
        <w:rPr>
          <w:sz w:val="28"/>
          <w:szCs w:val="28"/>
        </w:rPr>
        <w:t xml:space="preserve"> системою</w:t>
      </w:r>
      <w:r w:rsidR="00957DA2">
        <w:rPr>
          <w:sz w:val="28"/>
          <w:szCs w:val="28"/>
        </w:rPr>
        <w:t xml:space="preserve">, </w:t>
      </w:r>
      <w:r>
        <w:rPr>
          <w:sz w:val="28"/>
          <w:szCs w:val="28"/>
        </w:rPr>
        <w:t xml:space="preserve"> – 48,73 грн.</w:t>
      </w:r>
    </w:p>
    <w:p w14:paraId="5CE45973" w14:textId="77777777" w:rsidR="00A60343" w:rsidRPr="0070468D" w:rsidRDefault="00A60343" w:rsidP="00A60343">
      <w:pPr>
        <w:jc w:val="both"/>
        <w:rPr>
          <w:sz w:val="28"/>
          <w:szCs w:val="28"/>
        </w:rPr>
      </w:pPr>
      <w:r w:rsidRPr="0070468D">
        <w:rPr>
          <w:sz w:val="28"/>
          <w:szCs w:val="28"/>
        </w:rPr>
        <w:tab/>
      </w:r>
    </w:p>
    <w:p w14:paraId="3F48740F" w14:textId="1FE2BA4F" w:rsidR="00A60343" w:rsidRPr="0070468D" w:rsidRDefault="00A60343" w:rsidP="00A60343">
      <w:pPr>
        <w:pStyle w:val="a3"/>
        <w:shd w:val="clear" w:color="auto" w:fill="FFFFFF"/>
        <w:spacing w:before="0" w:beforeAutospacing="0" w:after="0" w:afterAutospacing="0"/>
        <w:ind w:firstLine="708"/>
        <w:jc w:val="both"/>
        <w:rPr>
          <w:b/>
          <w:color w:val="000000"/>
          <w:sz w:val="28"/>
          <w:szCs w:val="28"/>
        </w:rPr>
      </w:pPr>
      <w:r w:rsidRPr="0070468D">
        <w:rPr>
          <w:b/>
          <w:color w:val="000000"/>
          <w:sz w:val="28"/>
          <w:szCs w:val="28"/>
        </w:rPr>
        <w:t xml:space="preserve">Зауваження і пропозиції від фізичних та юридичних осіб, їхніх об’єднань приймаються протягом 7 календарних днів із дня повідомлення споживачів про намір здійснити зміну тарифів за </w:t>
      </w:r>
      <w:proofErr w:type="spellStart"/>
      <w:r w:rsidRPr="0070468D">
        <w:rPr>
          <w:b/>
          <w:color w:val="000000"/>
          <w:sz w:val="28"/>
          <w:szCs w:val="28"/>
        </w:rPr>
        <w:t>адрес</w:t>
      </w:r>
      <w:r w:rsidR="00957DA2">
        <w:rPr>
          <w:b/>
          <w:color w:val="000000"/>
          <w:sz w:val="28"/>
          <w:szCs w:val="28"/>
        </w:rPr>
        <w:t>ою</w:t>
      </w:r>
      <w:proofErr w:type="spellEnd"/>
      <w:r w:rsidRPr="0070468D">
        <w:rPr>
          <w:b/>
          <w:color w:val="000000"/>
          <w:sz w:val="28"/>
          <w:szCs w:val="28"/>
        </w:rPr>
        <w:t xml:space="preserve">: м. Чернігів, </w:t>
      </w:r>
      <w:r w:rsidR="0070468D" w:rsidRPr="009E155E">
        <w:rPr>
          <w:b/>
          <w:sz w:val="28"/>
          <w:szCs w:val="28"/>
        </w:rPr>
        <w:t>проспект М. Грушевського</w:t>
      </w:r>
      <w:r w:rsidRPr="0070468D">
        <w:rPr>
          <w:b/>
          <w:color w:val="000000"/>
          <w:sz w:val="28"/>
          <w:szCs w:val="28"/>
        </w:rPr>
        <w:t xml:space="preserve">, 173, приймальня. </w:t>
      </w:r>
    </w:p>
    <w:p w14:paraId="599930C6" w14:textId="77777777" w:rsidR="00A60343" w:rsidRPr="0070468D" w:rsidRDefault="00A60343" w:rsidP="00A60343">
      <w:pPr>
        <w:pStyle w:val="a3"/>
        <w:shd w:val="clear" w:color="auto" w:fill="FFFFFF"/>
        <w:spacing w:before="0" w:beforeAutospacing="0" w:after="0" w:afterAutospacing="0"/>
        <w:jc w:val="both"/>
        <w:rPr>
          <w:b/>
          <w:color w:val="000000"/>
          <w:sz w:val="28"/>
          <w:szCs w:val="28"/>
        </w:rPr>
      </w:pPr>
      <w:r w:rsidRPr="0070468D">
        <w:rPr>
          <w:b/>
          <w:color w:val="000000"/>
          <w:sz w:val="28"/>
          <w:szCs w:val="28"/>
        </w:rPr>
        <w:t xml:space="preserve"> </w:t>
      </w:r>
    </w:p>
    <w:p w14:paraId="64F10726" w14:textId="77777777" w:rsidR="00A60343" w:rsidRPr="0070468D" w:rsidRDefault="00A60343" w:rsidP="00A60343"/>
    <w:p w14:paraId="7FA70214" w14:textId="77777777" w:rsidR="00B54B89" w:rsidRPr="0070468D" w:rsidRDefault="00B54B89" w:rsidP="00B54B89">
      <w:pPr>
        <w:pStyle w:val="rvps2"/>
        <w:shd w:val="clear" w:color="auto" w:fill="FFFFFF"/>
        <w:spacing w:before="0" w:beforeAutospacing="0" w:after="150" w:afterAutospacing="0"/>
        <w:ind w:firstLine="450"/>
        <w:jc w:val="both"/>
        <w:rPr>
          <w:i/>
          <w:iCs/>
          <w:color w:val="333333"/>
        </w:rPr>
      </w:pPr>
      <w:r w:rsidRPr="0070468D">
        <w:rPr>
          <w:i/>
          <w:iCs/>
          <w:color w:val="333333"/>
        </w:rPr>
        <w:t>Виконавцями комунальних послуг, що надають послуги з поводження з побутовими відходами, до відома споживачів доводиться така інформація:</w:t>
      </w:r>
    </w:p>
    <w:p w14:paraId="4507C0E3" w14:textId="77777777" w:rsidR="00B54B89" w:rsidRPr="0070468D" w:rsidRDefault="00B54B89" w:rsidP="00B54B89">
      <w:pPr>
        <w:pStyle w:val="rvps2"/>
        <w:shd w:val="clear" w:color="auto" w:fill="FFFFFF"/>
        <w:spacing w:before="0" w:beforeAutospacing="0" w:after="150" w:afterAutospacing="0"/>
        <w:ind w:firstLine="450"/>
        <w:jc w:val="both"/>
        <w:rPr>
          <w:i/>
          <w:iCs/>
          <w:color w:val="333333"/>
        </w:rPr>
      </w:pPr>
      <w:bookmarkStart w:id="2" w:name="n31"/>
      <w:bookmarkEnd w:id="2"/>
      <w:r w:rsidRPr="0070468D">
        <w:rPr>
          <w:i/>
          <w:iCs/>
          <w:color w:val="333333"/>
        </w:rPr>
        <w:t>загальний розмір планованого тарифу на послуги з поводження з побутовими відходами для кінцевого споживача, поданого до органу, уповноваженого встановлювати тарифи, та його структура (плановані витрати за елементами, прибуток, податок на додану вартість), розмір планованих тарифів окремо за кожною послугою з поводження з побутовими відходами (вивезення, перероблення та захоронення побутових відходів) та видами побутових відходів (тверді, великогабаритні, ремонтні, рідкі) та їх структура;</w:t>
      </w:r>
    </w:p>
    <w:p w14:paraId="557F959C" w14:textId="77777777" w:rsidR="00B54B89" w:rsidRPr="0070468D" w:rsidRDefault="00B54B89" w:rsidP="00B54B89">
      <w:pPr>
        <w:pStyle w:val="rvps2"/>
        <w:shd w:val="clear" w:color="auto" w:fill="FFFFFF"/>
        <w:spacing w:before="0" w:beforeAutospacing="0" w:after="150" w:afterAutospacing="0"/>
        <w:ind w:firstLine="450"/>
        <w:jc w:val="both"/>
        <w:rPr>
          <w:i/>
          <w:iCs/>
          <w:color w:val="333333"/>
        </w:rPr>
      </w:pPr>
      <w:bookmarkStart w:id="3" w:name="n32"/>
      <w:bookmarkEnd w:id="3"/>
      <w:r w:rsidRPr="0070468D">
        <w:rPr>
          <w:i/>
          <w:iCs/>
          <w:color w:val="333333"/>
        </w:rPr>
        <w:t>періодичність надання послуги, графік вивезення побутових відходів;</w:t>
      </w:r>
    </w:p>
    <w:p w14:paraId="1A9B7703" w14:textId="77777777" w:rsidR="00B54B89" w:rsidRPr="0070468D" w:rsidRDefault="00B54B89" w:rsidP="00B54B89">
      <w:pPr>
        <w:pStyle w:val="rvps2"/>
        <w:shd w:val="clear" w:color="auto" w:fill="FFFFFF"/>
        <w:spacing w:before="0" w:beforeAutospacing="0" w:after="150" w:afterAutospacing="0"/>
        <w:ind w:firstLine="450"/>
        <w:jc w:val="both"/>
        <w:rPr>
          <w:i/>
          <w:iCs/>
          <w:color w:val="333333"/>
        </w:rPr>
      </w:pPr>
      <w:bookmarkStart w:id="4" w:name="n33"/>
      <w:bookmarkEnd w:id="4"/>
      <w:r w:rsidRPr="0070468D">
        <w:rPr>
          <w:i/>
          <w:iCs/>
          <w:color w:val="333333"/>
        </w:rPr>
        <w:lastRenderedPageBreak/>
        <w:t>обґрунтування причин зміни тарифу (зазначення розміру діючого тарифу та відсотка відшкодування затвердженим тарифом собівартості, планованого економічно обґрунтованого тарифу, дати, коли тариф востаннє переглядався, причин перегляду тарифу із визначенням форми (способу) його зміни, відсотка зміни основних складових тарифу (заробітної плати, електроенергії, паливно-мастильних матеріалів), визначення відсотка зміни тарифу тощо);</w:t>
      </w:r>
    </w:p>
    <w:p w14:paraId="593172CC" w14:textId="77777777" w:rsidR="00B54B89" w:rsidRPr="0070468D" w:rsidRDefault="00B54B89" w:rsidP="00B54B89">
      <w:pPr>
        <w:pStyle w:val="rvps2"/>
        <w:shd w:val="clear" w:color="auto" w:fill="FFFFFF"/>
        <w:spacing w:before="0" w:beforeAutospacing="0" w:after="150" w:afterAutospacing="0"/>
        <w:ind w:firstLine="450"/>
        <w:jc w:val="both"/>
        <w:rPr>
          <w:i/>
          <w:iCs/>
          <w:color w:val="333333"/>
        </w:rPr>
      </w:pPr>
      <w:bookmarkStart w:id="5" w:name="n34"/>
      <w:bookmarkEnd w:id="5"/>
      <w:r w:rsidRPr="0070468D">
        <w:rPr>
          <w:i/>
          <w:iCs/>
          <w:color w:val="333333"/>
        </w:rPr>
        <w:t>обґрунтування необхідності встановлення тарифу (у випадку, якщо тариф встановлюється вперше);</w:t>
      </w:r>
    </w:p>
    <w:p w14:paraId="590DEB9A" w14:textId="77777777" w:rsidR="00B54B89" w:rsidRPr="0070468D" w:rsidRDefault="00B54B89" w:rsidP="00B54B89">
      <w:pPr>
        <w:pStyle w:val="rvps2"/>
        <w:shd w:val="clear" w:color="auto" w:fill="FFFFFF"/>
        <w:spacing w:before="0" w:beforeAutospacing="0" w:after="150" w:afterAutospacing="0"/>
        <w:ind w:firstLine="450"/>
        <w:jc w:val="both"/>
        <w:rPr>
          <w:i/>
          <w:iCs/>
          <w:color w:val="333333"/>
        </w:rPr>
      </w:pPr>
      <w:bookmarkStart w:id="6" w:name="n35"/>
      <w:bookmarkEnd w:id="6"/>
      <w:r w:rsidRPr="0070468D">
        <w:rPr>
          <w:i/>
          <w:iCs/>
          <w:color w:val="333333"/>
        </w:rPr>
        <w:t>інша додаткова інформація, визначена виконавцем комунальних послуг (за необхідності);</w:t>
      </w:r>
    </w:p>
    <w:p w14:paraId="06145794" w14:textId="77777777" w:rsidR="00B54B89" w:rsidRPr="0070468D" w:rsidRDefault="00B54B89" w:rsidP="00B54B89">
      <w:pPr>
        <w:pStyle w:val="rvps2"/>
        <w:shd w:val="clear" w:color="auto" w:fill="FFFFFF"/>
        <w:spacing w:before="0" w:beforeAutospacing="0" w:after="150" w:afterAutospacing="0"/>
        <w:ind w:firstLine="450"/>
        <w:jc w:val="both"/>
        <w:rPr>
          <w:i/>
          <w:iCs/>
          <w:color w:val="333333"/>
        </w:rPr>
      </w:pPr>
      <w:bookmarkStart w:id="7" w:name="n36"/>
      <w:bookmarkEnd w:id="7"/>
      <w:r w:rsidRPr="0070468D">
        <w:rPr>
          <w:i/>
          <w:iCs/>
          <w:color w:val="333333"/>
        </w:rPr>
        <w:t>адреса, за якою приймаються зауваження і пропозиції від фізичних та юридичних осіб, їх об’єднань (місцезнаходження виконавця комунальної послуги та органу, уповноваженого встановлювати тарифи), а також строк приймання таких зауважень і пропозицій.</w:t>
      </w:r>
    </w:p>
    <w:p w14:paraId="0A48B69A" w14:textId="77777777" w:rsidR="008D78F2" w:rsidRPr="00A60343" w:rsidRDefault="008D78F2"/>
    <w:sectPr w:rsidR="008D78F2" w:rsidRPr="00A60343" w:rsidSect="00A60343">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453745"/>
    <w:multiLevelType w:val="hybridMultilevel"/>
    <w:tmpl w:val="532E76BE"/>
    <w:lvl w:ilvl="0" w:tplc="EDE62F26">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16cid:durableId="1186097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343"/>
    <w:rsid w:val="000563DC"/>
    <w:rsid w:val="00077F58"/>
    <w:rsid w:val="00081083"/>
    <w:rsid w:val="00183F82"/>
    <w:rsid w:val="00204B40"/>
    <w:rsid w:val="00383D1F"/>
    <w:rsid w:val="0044172F"/>
    <w:rsid w:val="00483AB2"/>
    <w:rsid w:val="004F0A36"/>
    <w:rsid w:val="005006A8"/>
    <w:rsid w:val="00560891"/>
    <w:rsid w:val="005A1728"/>
    <w:rsid w:val="00654F88"/>
    <w:rsid w:val="006E5495"/>
    <w:rsid w:val="0070468D"/>
    <w:rsid w:val="00723B01"/>
    <w:rsid w:val="00846A51"/>
    <w:rsid w:val="008D78F2"/>
    <w:rsid w:val="00957DA2"/>
    <w:rsid w:val="00985AAC"/>
    <w:rsid w:val="009E155E"/>
    <w:rsid w:val="00A60343"/>
    <w:rsid w:val="00AF0A70"/>
    <w:rsid w:val="00AF7201"/>
    <w:rsid w:val="00B54B89"/>
    <w:rsid w:val="00BB75D5"/>
    <w:rsid w:val="00BD34C9"/>
    <w:rsid w:val="00C16B1E"/>
    <w:rsid w:val="00C17D29"/>
    <w:rsid w:val="00C74577"/>
    <w:rsid w:val="00D25C99"/>
    <w:rsid w:val="00EE7129"/>
    <w:rsid w:val="00F329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6031"/>
  <w15:chartTrackingRefBased/>
  <w15:docId w15:val="{5D4CC7A1-1EC9-4343-9A5C-A7CB0036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0343"/>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60343"/>
    <w:pPr>
      <w:spacing w:before="100" w:beforeAutospacing="1" w:after="100" w:afterAutospacing="1"/>
    </w:pPr>
  </w:style>
  <w:style w:type="paragraph" w:customStyle="1" w:styleId="rvps2">
    <w:name w:val="rvps2"/>
    <w:basedOn w:val="a"/>
    <w:rsid w:val="00B54B89"/>
    <w:pPr>
      <w:spacing w:before="100" w:beforeAutospacing="1" w:after="100" w:afterAutospacing="1"/>
    </w:pPr>
    <w:rPr>
      <w:lang w:eastAsia="uk-UA"/>
    </w:rPr>
  </w:style>
  <w:style w:type="paragraph" w:styleId="a4">
    <w:name w:val="List Paragraph"/>
    <w:basedOn w:val="a"/>
    <w:uiPriority w:val="34"/>
    <w:qFormat/>
    <w:rsid w:val="00077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28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3403</Words>
  <Characters>1941</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 Николай</dc:creator>
  <cp:keywords/>
  <dc:description/>
  <cp:lastModifiedBy>Мороз Николай</cp:lastModifiedBy>
  <cp:revision>13</cp:revision>
  <dcterms:created xsi:type="dcterms:W3CDTF">2024-06-18T12:13:00Z</dcterms:created>
  <dcterms:modified xsi:type="dcterms:W3CDTF">2024-07-01T12:04:00Z</dcterms:modified>
</cp:coreProperties>
</file>