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15363C">
            <w:pPr>
              <w:spacing w:after="0" w:line="240" w:lineRule="auto"/>
              <w:ind w:firstLine="709"/>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762C071D"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6C658E">
        <w:rPr>
          <w:b/>
          <w:sz w:val="40"/>
          <w:szCs w:val="40"/>
        </w:rPr>
        <w:t>1</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48E49BB7"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t>1</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Чернігів,</w:t>
      </w:r>
      <w:r w:rsidRPr="001059C2">
        <w:t xml:space="preserve"> створений відповідно </w:t>
      </w:r>
      <w:r>
        <w:t>до рішення Чернігівського міськвиконкому у 1949 році та зареєстрований розпорядженням міського голови від 28.02.2001 року № 68-р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069BB77A"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t>1</w:t>
      </w:r>
      <w:r w:rsidRPr="001059C2">
        <w:t xml:space="preserve"> </w:t>
      </w:r>
      <w:r>
        <w:t>ЧЕРНІГІВСЬКОЇ</w:t>
      </w:r>
      <w:r w:rsidRPr="001059C2">
        <w:t xml:space="preserve"> МІСЬКОЇ РАДИ. </w:t>
      </w:r>
    </w:p>
    <w:p w14:paraId="380E0FAC" w14:textId="009B086B"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t>1</w:t>
      </w:r>
      <w:r w:rsidRPr="001059C2">
        <w:t xml:space="preserve">. </w:t>
      </w:r>
    </w:p>
    <w:p w14:paraId="569E98A8" w14:textId="42F006B6" w:rsidR="00D1107F" w:rsidRPr="001059C2" w:rsidRDefault="00D1107F" w:rsidP="0015363C">
      <w:pPr>
        <w:spacing w:after="0" w:line="240" w:lineRule="auto"/>
        <w:ind w:firstLine="709"/>
      </w:pPr>
      <w:r>
        <w:t>Код ЄДРПОУ: 25975352.</w:t>
      </w:r>
    </w:p>
    <w:p w14:paraId="0E7C0FA8" w14:textId="56DDAA9B" w:rsidR="0015363C" w:rsidRPr="001059C2" w:rsidRDefault="0015363C" w:rsidP="0015363C">
      <w:pPr>
        <w:spacing w:after="0" w:line="240" w:lineRule="auto"/>
        <w:ind w:firstLine="709"/>
      </w:pPr>
      <w:r w:rsidRPr="001059C2">
        <w:t xml:space="preserve">Місцезнаходження: Україна, </w:t>
      </w:r>
      <w:r w:rsidRPr="0015363C">
        <w:t>14000, Чернігівська обл., місто Чернігів, ПРОСПЕКТ МИРУ, будинок 40</w:t>
      </w:r>
      <w:r>
        <w:t>.</w:t>
      </w:r>
    </w:p>
    <w:p w14:paraId="5DCF8052" w14:textId="303976F3" w:rsidR="00D1107F" w:rsidRPr="0075353F" w:rsidRDefault="00D1107F" w:rsidP="00D1107F">
      <w:pPr>
        <w:pStyle w:val="rvps48"/>
        <w:shd w:val="clear" w:color="auto" w:fill="FFFFFF"/>
        <w:spacing w:before="0" w:beforeAutospacing="0" w:after="0" w:afterAutospacing="0"/>
        <w:ind w:firstLine="720"/>
        <w:jc w:val="both"/>
        <w:rPr>
          <w:color w:val="000000"/>
          <w:sz w:val="28"/>
          <w:szCs w:val="22"/>
          <w:lang w:val="uk-UA"/>
        </w:rPr>
      </w:pPr>
      <w:r w:rsidRPr="0075353F">
        <w:rPr>
          <w:color w:val="000000"/>
          <w:sz w:val="28"/>
          <w:szCs w:val="22"/>
          <w:lang w:val="uk-UA"/>
        </w:rPr>
        <w:t xml:space="preserve">Засновником </w:t>
      </w:r>
      <w:r>
        <w:rPr>
          <w:color w:val="000000"/>
          <w:sz w:val="28"/>
          <w:szCs w:val="22"/>
          <w:lang w:val="uk-UA"/>
        </w:rPr>
        <w:t>Ліцею</w:t>
      </w:r>
      <w:r w:rsidRPr="0075353F">
        <w:rPr>
          <w:color w:val="000000"/>
          <w:sz w:val="28"/>
          <w:szCs w:val="22"/>
          <w:lang w:val="uk-UA"/>
        </w:rPr>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3D801A49" w14:textId="77777777" w:rsidR="0015363C" w:rsidRPr="001059C2" w:rsidRDefault="0015363C" w:rsidP="0015363C">
      <w:pPr>
        <w:spacing w:after="0" w:line="240" w:lineRule="auto"/>
        <w:ind w:firstLine="709"/>
      </w:pPr>
      <w:r>
        <w:t>1.5. Ліцей</w:t>
      </w:r>
      <w:r w:rsidRPr="001059C2">
        <w:t xml:space="preserve"> є неприбутковою бюджетною установою.  </w:t>
      </w:r>
    </w:p>
    <w:p w14:paraId="767D4160" w14:textId="77777777" w:rsidR="0015363C" w:rsidRDefault="0015363C" w:rsidP="0015363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35022F2" w:rsidR="0015363C" w:rsidRPr="001059C2" w:rsidRDefault="0015363C" w:rsidP="0015363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77777777" w:rsidR="0015363C" w:rsidRDefault="0015363C" w:rsidP="0015363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lastRenderedPageBreak/>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6038391C" w14:textId="7777777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77777777"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77777777" w:rsidR="0015363C" w:rsidRDefault="0015363C" w:rsidP="0015363C">
      <w:pPr>
        <w:pStyle w:val="a3"/>
        <w:numPr>
          <w:ilvl w:val="0"/>
          <w:numId w:val="25"/>
        </w:numPr>
        <w:tabs>
          <w:tab w:val="left" w:pos="1134"/>
        </w:tabs>
        <w:spacing w:after="0" w:line="240" w:lineRule="auto"/>
        <w:ind w:left="0" w:firstLine="709"/>
      </w:pPr>
      <w:r w:rsidRPr="00713C58">
        <w:t xml:space="preserve">організація освітнього процесу що ґрунтується на загальнолюдських цінностях, визначених Законами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0BC7AF44"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77777777" w:rsidR="0015363C" w:rsidRPr="001059C2" w:rsidRDefault="0015363C" w:rsidP="0015363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1FCFACD9" w:rsidR="0015363C" w:rsidRPr="001059C2" w:rsidRDefault="0015363C" w:rsidP="0015363C">
      <w:pPr>
        <w:spacing w:after="0" w:line="240" w:lineRule="auto"/>
        <w:ind w:firstLine="709"/>
      </w:pPr>
      <w:r>
        <w:lastRenderedPageBreak/>
        <w:t>1.12.</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77777777"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 xml:space="preserve">залишати у своєму розпорядженні і використовувати власні надходження у порядку визначеному чинним законодавством України. </w:t>
      </w:r>
    </w:p>
    <w:p w14:paraId="73520C2D" w14:textId="10B95A75" w:rsidR="0015363C" w:rsidRPr="002347B3" w:rsidRDefault="0015363C" w:rsidP="00BA3BB2">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5DC6D039" w14:textId="77777777" w:rsidR="00BA3BB2" w:rsidRPr="001059C2" w:rsidRDefault="0015363C" w:rsidP="00BA3BB2">
      <w:pPr>
        <w:spacing w:after="0" w:line="240" w:lineRule="auto"/>
        <w:ind w:firstLine="709"/>
      </w:pPr>
      <w:r w:rsidRPr="008E0DC4">
        <w:rPr>
          <w:szCs w:val="28"/>
        </w:rPr>
        <w:t>1.</w:t>
      </w:r>
      <w:r>
        <w:rPr>
          <w:szCs w:val="28"/>
        </w:rPr>
        <w:t>18</w:t>
      </w:r>
      <w:r w:rsidRPr="008E0DC4">
        <w:rPr>
          <w:szCs w:val="28"/>
        </w:rPr>
        <w:t xml:space="preserve">. </w:t>
      </w:r>
      <w:r w:rsidR="00BA3BB2" w:rsidRPr="008E0DC4">
        <w:rPr>
          <w:szCs w:val="28"/>
        </w:rPr>
        <w:t xml:space="preserve">Взаємовідносини </w:t>
      </w:r>
      <w:r w:rsidR="00BA3BB2" w:rsidRPr="00B80E6A">
        <w:t>Ліце</w:t>
      </w:r>
      <w:r w:rsidR="00BA3BB2">
        <w:t>ю</w:t>
      </w:r>
      <w:r w:rsidR="00BA3BB2" w:rsidRPr="008E0DC4">
        <w:rPr>
          <w:szCs w:val="28"/>
        </w:rPr>
        <w:t xml:space="preserve"> з юридичними та фізичними особами визначаються згідно чинного законодавства, договорів, що укладені між ними.</w:t>
      </w:r>
    </w:p>
    <w:p w14:paraId="304FA98F" w14:textId="77777777" w:rsidR="00BA3BB2" w:rsidRDefault="00BA3BB2"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0677274" w14:textId="137E0C40" w:rsidR="0015363C" w:rsidRPr="001059C2" w:rsidRDefault="0015363C" w:rsidP="0015363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6B9E7918" w14:textId="77777777" w:rsidR="0015363C" w:rsidRPr="001059C2" w:rsidRDefault="0015363C" w:rsidP="0015363C">
      <w:pPr>
        <w:spacing w:after="0" w:line="240" w:lineRule="auto"/>
        <w:ind w:firstLine="709"/>
      </w:pPr>
      <w:r w:rsidRPr="001059C2">
        <w:lastRenderedPageBreak/>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9988D53" w14:textId="77777777" w:rsidR="0015363C" w:rsidRPr="001059C2" w:rsidRDefault="0015363C" w:rsidP="0015363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27697140" w:rsidR="0015363C" w:rsidRPr="001059C2" w:rsidRDefault="0015363C" w:rsidP="0015363C">
      <w:pPr>
        <w:spacing w:after="0" w:line="240" w:lineRule="auto"/>
        <w:ind w:firstLine="709"/>
      </w:pPr>
      <w:r w:rsidRPr="001059C2">
        <w:t xml:space="preserve">2.7. </w:t>
      </w:r>
      <w:r>
        <w:t>Ліцей</w:t>
      </w:r>
      <w:r w:rsidRPr="001059C2">
        <w:t xml:space="preserve"> здійснює облік всіх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7A7E4C9C" w:rsidR="0015363C" w:rsidRPr="001059C2" w:rsidRDefault="0015363C" w:rsidP="0015363C">
      <w:pPr>
        <w:spacing w:after="0" w:line="240" w:lineRule="auto"/>
        <w:ind w:firstLine="709"/>
      </w:pPr>
      <w:r w:rsidRPr="001059C2">
        <w:t xml:space="preserve">3.3. На основі визначеного в освітній програмі </w:t>
      </w:r>
      <w:r>
        <w:t>Ліцей</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xml:space="preserve">, сімейною </w:t>
      </w:r>
      <w:r w:rsidRPr="00476FA9">
        <w:lastRenderedPageBreak/>
        <w:t>(домашньою)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77777777" w:rsidR="0015363C" w:rsidRPr="001059C2" w:rsidRDefault="0015363C" w:rsidP="0015363C">
      <w:pPr>
        <w:spacing w:after="0" w:line="240" w:lineRule="auto"/>
        <w:ind w:firstLine="709"/>
      </w:pPr>
      <w:r w:rsidRPr="001059C2">
        <w:lastRenderedPageBreak/>
        <w:t>3.1</w:t>
      </w:r>
      <w:r>
        <w:t>6</w:t>
      </w:r>
      <w:r w:rsidRPr="001059C2">
        <w:t xml:space="preserve">.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77777777"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Ліцеї</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lastRenderedPageBreak/>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1780639D"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lastRenderedPageBreak/>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lastRenderedPageBreak/>
        <w:t>VІІ. УПРАВЛІННЯ ЗАКЛАДОМ</w:t>
      </w:r>
    </w:p>
    <w:p w14:paraId="283CE6A8" w14:textId="0769C402" w:rsidR="0015363C" w:rsidRPr="001059C2" w:rsidRDefault="0015363C" w:rsidP="0015363C">
      <w:pPr>
        <w:spacing w:after="0" w:line="240" w:lineRule="auto"/>
        <w:ind w:firstLine="709"/>
      </w:pPr>
      <w:r w:rsidRPr="001059C2">
        <w:t xml:space="preserve">7.1. Управління </w:t>
      </w:r>
      <w:r>
        <w:t>Ліцеєм</w:t>
      </w:r>
      <w:r w:rsidRPr="001059C2">
        <w:t xml:space="preserve"> в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77777777"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77777777"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у </w:t>
      </w:r>
      <w:r>
        <w:t>Ліцеї.</w:t>
      </w:r>
      <w:r w:rsidRPr="001059C2">
        <w:t xml:space="preserve">  </w:t>
      </w:r>
    </w:p>
    <w:p w14:paraId="263028BF" w14:textId="77777777"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у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77777777" w:rsidR="0015363C" w:rsidRPr="001059C2" w:rsidRDefault="0015363C" w:rsidP="0015363C">
      <w:pPr>
        <w:spacing w:after="0" w:line="240" w:lineRule="auto"/>
        <w:ind w:firstLine="709"/>
      </w:pPr>
      <w:r w:rsidRPr="001059C2">
        <w:t xml:space="preserve">7.14. Громадське самоврядування у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у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0DF6A2BE"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бухгалтерських документах централізованої бухгалтерії Управління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lastRenderedPageBreak/>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77777777" w:rsidR="00F94890" w:rsidRPr="00837BC7" w:rsidRDefault="00F94890" w:rsidP="00F94890">
      <w:pPr>
        <w:spacing w:after="0" w:line="240" w:lineRule="auto"/>
        <w:ind w:firstLine="709"/>
      </w:pPr>
      <w:r w:rsidRPr="00837BC7">
        <w:t xml:space="preserve">10.2. Джерелами фінансування Гімназії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5A1541BE"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w:t>
      </w:r>
      <w:r>
        <w:t>ю</w:t>
      </w:r>
      <w:r w:rsidRPr="00B771F9">
        <w:t xml:space="preserve"> здійснюється через централізовану бухгалтерію </w:t>
      </w:r>
      <w:r>
        <w:t>управління освіти</w:t>
      </w:r>
      <w:r>
        <w:t xml:space="preserve"> міської ради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32CB563C"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серед Засновника, працівників </w:t>
      </w:r>
      <w:r>
        <w:t>Ліцею</w:t>
      </w:r>
      <w:r w:rsidRPr="00B771F9">
        <w:t xml:space="preserve"> (крім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w:t>
      </w:r>
      <w:r>
        <w:t>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w:t>
      </w:r>
      <w:r>
        <w:t>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lastRenderedPageBreak/>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w:t>
      </w:r>
      <w:r>
        <w:t>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p w14:paraId="0D21ECCD" w14:textId="25AF7A81" w:rsidR="00B771F9" w:rsidRPr="00B771F9" w:rsidRDefault="009E3706" w:rsidP="00F94890">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76BA" w14:textId="77777777" w:rsidR="0057189B" w:rsidRDefault="0057189B" w:rsidP="009E3706">
      <w:pPr>
        <w:spacing w:after="0" w:line="240" w:lineRule="auto"/>
      </w:pPr>
      <w:r>
        <w:separator/>
      </w:r>
    </w:p>
  </w:endnote>
  <w:endnote w:type="continuationSeparator" w:id="0">
    <w:p w14:paraId="0A967637" w14:textId="77777777" w:rsidR="0057189B" w:rsidRDefault="0057189B"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7AC22" w14:textId="77777777" w:rsidR="0057189B" w:rsidRDefault="0057189B" w:rsidP="009E3706">
      <w:pPr>
        <w:spacing w:after="0" w:line="240" w:lineRule="auto"/>
      </w:pPr>
      <w:r>
        <w:separator/>
      </w:r>
    </w:p>
  </w:footnote>
  <w:footnote w:type="continuationSeparator" w:id="0">
    <w:p w14:paraId="79974094" w14:textId="77777777" w:rsidR="0057189B" w:rsidRDefault="0057189B"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363C"/>
    <w:rsid w:val="001B4D41"/>
    <w:rsid w:val="001C2017"/>
    <w:rsid w:val="002179A4"/>
    <w:rsid w:val="002347B3"/>
    <w:rsid w:val="00247E97"/>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71D71"/>
    <w:rsid w:val="006C1849"/>
    <w:rsid w:val="006C658E"/>
    <w:rsid w:val="00713C58"/>
    <w:rsid w:val="00837BC7"/>
    <w:rsid w:val="008614F5"/>
    <w:rsid w:val="00886DEA"/>
    <w:rsid w:val="008C0388"/>
    <w:rsid w:val="009B5CB2"/>
    <w:rsid w:val="009C455B"/>
    <w:rsid w:val="009E3706"/>
    <w:rsid w:val="009E67D5"/>
    <w:rsid w:val="00AD01C3"/>
    <w:rsid w:val="00B57647"/>
    <w:rsid w:val="00B771F9"/>
    <w:rsid w:val="00BA307F"/>
    <w:rsid w:val="00BA3BB2"/>
    <w:rsid w:val="00C40469"/>
    <w:rsid w:val="00C57DFC"/>
    <w:rsid w:val="00CC04BD"/>
    <w:rsid w:val="00D1107F"/>
    <w:rsid w:val="00D85522"/>
    <w:rsid w:val="00D923F6"/>
    <w:rsid w:val="00D9371F"/>
    <w:rsid w:val="00DA66C7"/>
    <w:rsid w:val="00E51C44"/>
    <w:rsid w:val="00E55993"/>
    <w:rsid w:val="00E67CBB"/>
    <w:rsid w:val="00EA1AB4"/>
    <w:rsid w:val="00EC404E"/>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23</Pages>
  <Words>8133</Words>
  <Characters>46362</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19</cp:revision>
  <cp:lastPrinted>2023-07-03T07:49:00Z</cp:lastPrinted>
  <dcterms:created xsi:type="dcterms:W3CDTF">2024-06-05T14:17:00Z</dcterms:created>
  <dcterms:modified xsi:type="dcterms:W3CDTF">2024-07-04T09:36:00Z</dcterms:modified>
</cp:coreProperties>
</file>