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87" w:rsidRDefault="00AB0E87" w:rsidP="00AB0E8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DB6B60" w:rsidRDefault="00AB0E87" w:rsidP="00DB6B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A6EB4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CB777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3A6E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779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CB7779">
        <w:rPr>
          <w:rFonts w:ascii="Times New Roman" w:hAnsi="Times New Roman"/>
          <w:sz w:val="28"/>
          <w:szCs w:val="28"/>
          <w:lang w:val="uk-UA"/>
        </w:rPr>
        <w:t>ішення</w:t>
      </w:r>
      <w:r w:rsidRPr="003A6EB4">
        <w:rPr>
          <w:rFonts w:ascii="Times New Roman" w:hAnsi="Times New Roman"/>
          <w:sz w:val="28"/>
          <w:szCs w:val="28"/>
        </w:rPr>
        <w:t xml:space="preserve"> </w:t>
      </w:r>
      <w:r w:rsidR="00DB6B60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7E08AC">
        <w:rPr>
          <w:rFonts w:ascii="Times New Roman" w:hAnsi="Times New Roman"/>
          <w:sz w:val="28"/>
          <w:szCs w:val="28"/>
          <w:lang w:val="uk-UA"/>
        </w:rPr>
        <w:t>міської</w:t>
      </w:r>
      <w:r w:rsidRPr="003A6EB4">
        <w:rPr>
          <w:rFonts w:ascii="Times New Roman" w:hAnsi="Times New Roman"/>
          <w:sz w:val="28"/>
          <w:szCs w:val="28"/>
        </w:rPr>
        <w:t xml:space="preserve"> ради «</w:t>
      </w:r>
      <w:r w:rsidR="003A6EB4" w:rsidRPr="003A6EB4">
        <w:rPr>
          <w:rFonts w:ascii="Times New Roman" w:hAnsi="Times New Roman"/>
          <w:sz w:val="28"/>
          <w:szCs w:val="28"/>
          <w:lang w:val="uk-UA"/>
        </w:rPr>
        <w:t>Про Програм</w:t>
      </w:r>
      <w:r w:rsidR="0062162E">
        <w:rPr>
          <w:rFonts w:ascii="Times New Roman" w:hAnsi="Times New Roman"/>
          <w:sz w:val="28"/>
          <w:szCs w:val="28"/>
          <w:lang w:val="uk-UA"/>
        </w:rPr>
        <w:t>у</w:t>
      </w:r>
      <w:r w:rsidR="003A6EB4" w:rsidRPr="003A6EB4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DB6B60" w:rsidRPr="00DB6B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6B60" w:rsidRPr="003A6EB4">
        <w:rPr>
          <w:rFonts w:ascii="Times New Roman" w:hAnsi="Times New Roman"/>
          <w:sz w:val="28"/>
          <w:szCs w:val="28"/>
          <w:lang w:val="uk-UA"/>
        </w:rPr>
        <w:t>поворотно</w:t>
      </w:r>
      <w:r w:rsidR="00DB6B60">
        <w:rPr>
          <w:rFonts w:ascii="Times New Roman" w:hAnsi="Times New Roman"/>
          <w:sz w:val="28"/>
          <w:szCs w:val="28"/>
          <w:lang w:val="uk-UA"/>
        </w:rPr>
        <w:t>ї фінансової допомоги</w:t>
      </w:r>
      <w:r w:rsidR="00DB6B60" w:rsidRPr="003A6EB4">
        <w:rPr>
          <w:rFonts w:ascii="Times New Roman" w:hAnsi="Times New Roman"/>
          <w:sz w:val="28"/>
          <w:szCs w:val="28"/>
          <w:lang w:val="uk-UA"/>
        </w:rPr>
        <w:t>, що виплачується патронатним вихователям до моменту отримання державної</w:t>
      </w:r>
      <w:r w:rsidR="00DB6B60">
        <w:rPr>
          <w:rFonts w:ascii="Times New Roman" w:hAnsi="Times New Roman"/>
          <w:sz w:val="28"/>
          <w:szCs w:val="28"/>
          <w:lang w:val="uk-UA"/>
        </w:rPr>
        <w:t xml:space="preserve"> соціальної допомоги на </w:t>
      </w:r>
    </w:p>
    <w:p w:rsidR="00DB6B60" w:rsidRDefault="00DB6B60" w:rsidP="00DB6B6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2026-2030</w:t>
      </w:r>
      <w:r w:rsidRPr="003A6EB4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3A6EB4">
        <w:rPr>
          <w:rFonts w:ascii="Times New Roman" w:hAnsi="Times New Roman"/>
          <w:sz w:val="28"/>
          <w:szCs w:val="28"/>
        </w:rPr>
        <w:t>»</w:t>
      </w:r>
    </w:p>
    <w:p w:rsidR="00AA289B" w:rsidRPr="00211707" w:rsidRDefault="00AA289B" w:rsidP="00AA2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289B" w:rsidRPr="00211707" w:rsidRDefault="00AA289B" w:rsidP="00AA289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117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</w:t>
      </w:r>
      <w:r w:rsidRPr="00211707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211707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України від               20.08.2021 року № 893 «Порядок створення та діяльності сім’ї патронатного вихователя, влаштування, перебування дитини в сім’ї патронатного вихователя» виконавчі органи міських рад протягом п’яти днів після укладення договору про умови запровадження патронату мають нарахувати </w:t>
      </w:r>
      <w:r w:rsidR="00BD1F82" w:rsidRPr="00211707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211707">
        <w:rPr>
          <w:rFonts w:ascii="Times New Roman" w:hAnsi="Times New Roman"/>
          <w:color w:val="000000"/>
          <w:sz w:val="28"/>
          <w:szCs w:val="28"/>
          <w:lang w:val="uk-UA"/>
        </w:rPr>
        <w:t>з відповідного місцевого бюджету поворотну фінансову</w:t>
      </w:r>
      <w:r w:rsidR="00126B4A" w:rsidRPr="00211707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допомогу (далі – поворотна допомога</w:t>
      </w:r>
      <w:r w:rsidRPr="00211707">
        <w:rPr>
          <w:rFonts w:ascii="Times New Roman" w:hAnsi="Times New Roman"/>
          <w:color w:val="000000"/>
          <w:sz w:val="28"/>
          <w:szCs w:val="28"/>
          <w:lang w:val="uk-UA"/>
        </w:rPr>
        <w:t xml:space="preserve">), що виплачується патронатному вихователю для своєчасного забезпечення потреб дитини, влаштованої до сім’ї патронатного вихователя, до моменту отримання державної соціальної допомоги. </w:t>
      </w:r>
    </w:p>
    <w:p w:rsidR="00AA289B" w:rsidRDefault="00126B4A" w:rsidP="00AA2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Сума поворотної допомоги</w:t>
      </w:r>
      <w:r w:rsidR="00AA289B" w:rsidRPr="00191BE4">
        <w:rPr>
          <w:rFonts w:ascii="Times New Roman" w:hAnsi="Times New Roman"/>
          <w:sz w:val="28"/>
          <w:szCs w:val="28"/>
          <w:lang w:val="uk-UA"/>
        </w:rPr>
        <w:t xml:space="preserve"> має відповідати встановленому розміру соціальної допомоги </w:t>
      </w:r>
      <w:r w:rsidR="00AA289B" w:rsidRPr="00191BE4">
        <w:rPr>
          <w:rFonts w:ascii="Times New Roman" w:hAnsi="Times New Roman"/>
          <w:sz w:val="28"/>
          <w:szCs w:val="28"/>
          <w:lang w:val="uk-UA" w:eastAsia="uk-UA"/>
        </w:rPr>
        <w:t>з розрахунку одночасного влаштування до сім’ї патронатного вихователя двох дітей і становить 2,5 прожиткового мінімуму на кожну дитину відповідного віку (до шести років та від шести до 18 років).</w:t>
      </w:r>
    </w:p>
    <w:p w:rsidR="00AA289B" w:rsidRDefault="00126B4A" w:rsidP="00AA28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Поротна допомога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перерахову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є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ться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особовий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рахунок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вихователя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відкритий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відповідній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банківській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установі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отримання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соціальної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утримання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сімʼї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вихователя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, та є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перехідним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залишком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використовується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патронатним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вихователем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задоволення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потреб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влаштованої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сім’ї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вихователя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разі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затримки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виплат</w:t>
      </w:r>
      <w:proofErr w:type="spellEnd"/>
      <w:r w:rsidR="00AA289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A289B">
        <w:rPr>
          <w:rFonts w:ascii="Times New Roman" w:hAnsi="Times New Roman"/>
          <w:sz w:val="28"/>
          <w:szCs w:val="28"/>
          <w:lang w:val="uk-UA" w:eastAsia="uk-UA"/>
        </w:rPr>
        <w:t>держав</w:t>
      </w:r>
      <w:r w:rsidR="0062162E">
        <w:rPr>
          <w:rFonts w:ascii="Times New Roman" w:hAnsi="Times New Roman"/>
          <w:sz w:val="28"/>
          <w:szCs w:val="28"/>
          <w:lang w:val="uk-UA" w:eastAsia="uk-UA"/>
        </w:rPr>
        <w:t>авної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соціальної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1F82">
        <w:rPr>
          <w:rFonts w:ascii="Times New Roman" w:hAnsi="Times New Roman"/>
          <w:sz w:val="28"/>
          <w:szCs w:val="28"/>
          <w:lang w:val="uk-UA" w:eastAsia="uk-UA"/>
        </w:rPr>
        <w:t xml:space="preserve">                  </w:t>
      </w:r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і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поновлюється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патронатним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вихователем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таким чином,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щоб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перед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наступним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влаштуванням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сімʼї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вихователя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відповідному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рахунку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сума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цього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резерву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дорівнювала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сумі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попередньо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виплаченої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поворотної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289B" w:rsidRPr="00547556">
        <w:rPr>
          <w:rFonts w:ascii="Times New Roman" w:hAnsi="Times New Roman"/>
          <w:sz w:val="28"/>
          <w:szCs w:val="28"/>
          <w:lang w:eastAsia="uk-UA"/>
        </w:rPr>
        <w:t>допомоги</w:t>
      </w:r>
      <w:proofErr w:type="spellEnd"/>
      <w:r w:rsidR="00AA289B" w:rsidRPr="00547556">
        <w:rPr>
          <w:rFonts w:ascii="Times New Roman" w:hAnsi="Times New Roman"/>
          <w:sz w:val="28"/>
          <w:szCs w:val="28"/>
          <w:lang w:eastAsia="uk-UA"/>
        </w:rPr>
        <w:t>.</w:t>
      </w:r>
    </w:p>
    <w:p w:rsidR="00AA289B" w:rsidRDefault="00AA289B" w:rsidP="00AA289B">
      <w:pPr>
        <w:pStyle w:val="a5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припинення/розірвання договору про</w:t>
      </w:r>
      <w:r w:rsidRPr="007C7F42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умови </w:t>
      </w:r>
      <w:r>
        <w:rPr>
          <w:rFonts w:ascii="Times New Roman" w:hAnsi="Times New Roman"/>
          <w:bCs/>
          <w:sz w:val="28"/>
          <w:szCs w:val="28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sz w:val="28"/>
          <w:szCs w:val="28"/>
        </w:rPr>
        <w:t xml:space="preserve"> патронатний вихователь протягом 10 робочих днів повинен повернути в повному обсязі до </w:t>
      </w:r>
      <w:r w:rsidRPr="00DE7DA8">
        <w:rPr>
          <w:rFonts w:ascii="Times New Roman" w:hAnsi="Times New Roman"/>
          <w:sz w:val="28"/>
          <w:szCs w:val="28"/>
        </w:rPr>
        <w:t>бюджету Чернігівської міської територіальної громади кошти попередньо</w:t>
      </w:r>
      <w:r>
        <w:rPr>
          <w:rFonts w:ascii="Times New Roman" w:hAnsi="Times New Roman"/>
          <w:sz w:val="28"/>
          <w:szCs w:val="28"/>
        </w:rPr>
        <w:t xml:space="preserve"> в</w:t>
      </w:r>
      <w:r w:rsidR="00126B4A">
        <w:rPr>
          <w:rFonts w:ascii="Times New Roman" w:hAnsi="Times New Roman"/>
          <w:sz w:val="28"/>
          <w:szCs w:val="28"/>
        </w:rPr>
        <w:t xml:space="preserve">иплаченої поворотної </w:t>
      </w:r>
      <w:r>
        <w:rPr>
          <w:rFonts w:ascii="Times New Roman" w:hAnsi="Times New Roman"/>
          <w:sz w:val="28"/>
          <w:szCs w:val="28"/>
        </w:rPr>
        <w:t xml:space="preserve">допомоги. </w:t>
      </w:r>
    </w:p>
    <w:p w:rsidR="00126B4A" w:rsidRPr="00126B4A" w:rsidRDefault="00126B4A" w:rsidP="00126B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6B4A">
        <w:rPr>
          <w:rFonts w:ascii="Times New Roman" w:hAnsi="Times New Roman"/>
          <w:sz w:val="28"/>
          <w:szCs w:val="28"/>
        </w:rPr>
        <w:t xml:space="preserve">Соціальна послуга з патронату над дітьми активно впроваджується           з 2018 року. На сьогодні у місті функціонує 4 сім’ї патронатних вихователів, дві з яких були створені у 2019 році, по одній у 2024 та 2025 роках. За час функціонування патронатних сімей до них було влаштовано 46 дітей, які опинились у складних життєвих обставинах, або залишились без батьківського піклування.  </w:t>
      </w:r>
    </w:p>
    <w:p w:rsidR="00126B4A" w:rsidRDefault="00126B4A" w:rsidP="00126B4A">
      <w:pPr>
        <w:pStyle w:val="a5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B4A">
        <w:rPr>
          <w:rFonts w:ascii="Times New Roman" w:hAnsi="Times New Roman"/>
          <w:sz w:val="28"/>
          <w:szCs w:val="28"/>
        </w:rPr>
        <w:t xml:space="preserve">Особливої актуальності нова форма тимчасового сімейного виховання дитини набуває сьогодні в умовах воєнного стану, коли дитина стає однією  з найбільш уражених верств населення. З огляду на ситуацію, у зв’язку                  з необхідністю термінового влаштування дітей, що залишились без </w:t>
      </w:r>
      <w:r w:rsidRPr="00126B4A">
        <w:rPr>
          <w:rFonts w:ascii="Times New Roman" w:hAnsi="Times New Roman"/>
          <w:sz w:val="28"/>
          <w:szCs w:val="28"/>
        </w:rPr>
        <w:lastRenderedPageBreak/>
        <w:t>батьківського піклування, місто потребує не менше 8 сімей патронатних вихователів.</w:t>
      </w:r>
    </w:p>
    <w:p w:rsidR="00BD1F82" w:rsidRDefault="00BD1F82" w:rsidP="00BD1F82">
      <w:pPr>
        <w:pStyle w:val="a5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Зважаючи на те, що більшість дітей, які перебували у патронатних сім’ях – це діти віком від 6 років, доцільно проводити розрахунок поворотної фінанс</w:t>
      </w:r>
      <w:r w:rsidR="00D72D40">
        <w:rPr>
          <w:rFonts w:ascii="Times New Roman" w:hAnsi="Times New Roman"/>
          <w:sz w:val="28"/>
          <w:szCs w:val="28"/>
        </w:rPr>
        <w:t>ової допомоги</w:t>
      </w:r>
      <w:r>
        <w:rPr>
          <w:rFonts w:ascii="Times New Roman" w:hAnsi="Times New Roman"/>
          <w:sz w:val="28"/>
          <w:szCs w:val="28"/>
        </w:rPr>
        <w:t xml:space="preserve"> за умови </w:t>
      </w:r>
      <w:r w:rsidRPr="00191BE4">
        <w:rPr>
          <w:rFonts w:ascii="Times New Roman" w:hAnsi="Times New Roman"/>
          <w:sz w:val="28"/>
          <w:szCs w:val="28"/>
          <w:lang w:eastAsia="uk-UA"/>
        </w:rPr>
        <w:t>одночасного влаштування до сім’ї па</w:t>
      </w:r>
      <w:r w:rsidRPr="00C9694C">
        <w:rPr>
          <w:rFonts w:ascii="Times New Roman" w:hAnsi="Times New Roman"/>
          <w:sz w:val="28"/>
          <w:szCs w:val="28"/>
          <w:lang w:eastAsia="uk-UA"/>
        </w:rPr>
        <w:t>тр</w:t>
      </w:r>
      <w:r w:rsidRPr="00191BE4">
        <w:rPr>
          <w:rFonts w:ascii="Times New Roman" w:hAnsi="Times New Roman"/>
          <w:sz w:val="28"/>
          <w:szCs w:val="28"/>
          <w:lang w:eastAsia="uk-UA"/>
        </w:rPr>
        <w:t>онатного вихователя двох діте</w:t>
      </w:r>
      <w:r>
        <w:rPr>
          <w:rFonts w:ascii="Times New Roman" w:hAnsi="Times New Roman"/>
          <w:sz w:val="28"/>
          <w:szCs w:val="28"/>
          <w:lang w:eastAsia="uk-UA"/>
        </w:rPr>
        <w:t xml:space="preserve">й </w:t>
      </w:r>
      <w:r w:rsidRPr="00191BE4">
        <w:rPr>
          <w:rFonts w:ascii="Times New Roman" w:hAnsi="Times New Roman"/>
          <w:sz w:val="28"/>
          <w:szCs w:val="28"/>
          <w:lang w:eastAsia="uk-UA"/>
        </w:rPr>
        <w:t>вік</w:t>
      </w:r>
      <w:r>
        <w:rPr>
          <w:rFonts w:ascii="Times New Roman" w:hAnsi="Times New Roman"/>
          <w:sz w:val="28"/>
          <w:szCs w:val="28"/>
          <w:lang w:eastAsia="uk-UA"/>
        </w:rPr>
        <w:t>ом від 6 років. Також, слід</w:t>
      </w:r>
      <w:r w:rsidR="00DB6B6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враховувати збільшення розміру прожиткового</w:t>
      </w:r>
      <w:r w:rsidRPr="00513E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B60">
        <w:rPr>
          <w:rFonts w:ascii="Times New Roman" w:hAnsi="Times New Roman"/>
          <w:sz w:val="28"/>
          <w:szCs w:val="28"/>
          <w:lang w:eastAsia="uk-UA"/>
        </w:rPr>
        <w:t xml:space="preserve">мінімуму </w:t>
      </w:r>
      <w:r w:rsidRPr="00191BE4">
        <w:rPr>
          <w:rFonts w:ascii="Times New Roman" w:hAnsi="Times New Roman"/>
          <w:sz w:val="28"/>
          <w:szCs w:val="28"/>
          <w:lang w:eastAsia="uk-UA"/>
        </w:rPr>
        <w:t>на кожну дитину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BD1F82" w:rsidRDefault="00BD1F82" w:rsidP="00BD1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4C70">
        <w:rPr>
          <w:rFonts w:ascii="Times New Roman" w:hAnsi="Times New Roman"/>
          <w:sz w:val="28"/>
          <w:szCs w:val="28"/>
          <w:lang w:val="uk-UA"/>
        </w:rPr>
        <w:t xml:space="preserve">Обсяг фінансування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поворотної </w:t>
      </w:r>
      <w:r w:rsidR="00D72D40">
        <w:rPr>
          <w:rFonts w:ascii="Times New Roman" w:hAnsi="Times New Roman"/>
          <w:sz w:val="28"/>
          <w:szCs w:val="28"/>
          <w:lang w:val="uk-UA"/>
        </w:rPr>
        <w:t>фінансової допомоги</w:t>
      </w:r>
      <w:r>
        <w:rPr>
          <w:rFonts w:ascii="Times New Roman" w:hAnsi="Times New Roman"/>
          <w:sz w:val="28"/>
          <w:szCs w:val="28"/>
          <w:lang w:val="uk-UA"/>
        </w:rPr>
        <w:t>, що виплачується патронатним вихователям залежно від того, коли створена сім’я патронатного вихователя</w:t>
      </w:r>
      <w:r w:rsidR="00C078B5">
        <w:rPr>
          <w:rFonts w:ascii="Times New Roman" w:hAnsi="Times New Roman"/>
          <w:sz w:val="28"/>
          <w:szCs w:val="28"/>
          <w:lang w:val="uk-UA"/>
        </w:rPr>
        <w:t>.</w:t>
      </w:r>
    </w:p>
    <w:p w:rsidR="00126B4A" w:rsidRDefault="00126B4A" w:rsidP="00BD1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99"/>
        <w:gridCol w:w="1145"/>
        <w:gridCol w:w="1276"/>
        <w:gridCol w:w="1134"/>
        <w:gridCol w:w="1276"/>
        <w:gridCol w:w="1241"/>
      </w:tblGrid>
      <w:tr w:rsidR="00126B4A" w:rsidRPr="00126B4A" w:rsidTr="009D3234">
        <w:tc>
          <w:tcPr>
            <w:tcW w:w="3499" w:type="dxa"/>
          </w:tcPr>
          <w:p w:rsidR="00126B4A" w:rsidRPr="00126B4A" w:rsidRDefault="00126B4A" w:rsidP="00126B4A">
            <w:pPr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45" w:type="dxa"/>
          </w:tcPr>
          <w:p w:rsidR="00126B4A" w:rsidRPr="00126B4A" w:rsidRDefault="00126B4A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2026 р.</w:t>
            </w:r>
          </w:p>
        </w:tc>
        <w:tc>
          <w:tcPr>
            <w:tcW w:w="1276" w:type="dxa"/>
          </w:tcPr>
          <w:p w:rsidR="00126B4A" w:rsidRPr="00126B4A" w:rsidRDefault="00126B4A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2027 р.</w:t>
            </w:r>
          </w:p>
        </w:tc>
        <w:tc>
          <w:tcPr>
            <w:tcW w:w="1134" w:type="dxa"/>
          </w:tcPr>
          <w:p w:rsidR="00126B4A" w:rsidRPr="00126B4A" w:rsidRDefault="00126B4A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2028 р.</w:t>
            </w:r>
          </w:p>
        </w:tc>
        <w:tc>
          <w:tcPr>
            <w:tcW w:w="1276" w:type="dxa"/>
          </w:tcPr>
          <w:p w:rsidR="00126B4A" w:rsidRPr="00126B4A" w:rsidRDefault="00126B4A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2029 р.</w:t>
            </w:r>
          </w:p>
        </w:tc>
        <w:tc>
          <w:tcPr>
            <w:tcW w:w="1241" w:type="dxa"/>
          </w:tcPr>
          <w:p w:rsidR="00126B4A" w:rsidRPr="00126B4A" w:rsidRDefault="00126B4A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2030 р.</w:t>
            </w:r>
          </w:p>
        </w:tc>
      </w:tr>
      <w:tr w:rsidR="00126B4A" w:rsidRPr="00126B4A" w:rsidTr="009D3234">
        <w:tc>
          <w:tcPr>
            <w:tcW w:w="3499" w:type="dxa"/>
          </w:tcPr>
          <w:p w:rsidR="00126B4A" w:rsidRPr="00126B4A" w:rsidRDefault="00126B4A" w:rsidP="00126B4A">
            <w:pPr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bCs/>
                <w:sz w:val="24"/>
                <w:szCs w:val="24"/>
                <w:lang w:val="uk-UA"/>
              </w:rPr>
              <w:t>Кількість сімей патронатних вихователів</w:t>
            </w:r>
          </w:p>
        </w:tc>
        <w:tc>
          <w:tcPr>
            <w:tcW w:w="1145" w:type="dxa"/>
            <w:vAlign w:val="center"/>
          </w:tcPr>
          <w:p w:rsidR="00126B4A" w:rsidRPr="00126B4A" w:rsidRDefault="00D81F7E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126B4A" w:rsidRPr="00126B4A" w:rsidRDefault="00D81F7E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126B4A" w:rsidRPr="00126B4A" w:rsidRDefault="00D81F7E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126B4A" w:rsidRPr="00126B4A" w:rsidRDefault="00D81F7E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41" w:type="dxa"/>
            <w:vAlign w:val="center"/>
          </w:tcPr>
          <w:p w:rsidR="00126B4A" w:rsidRPr="00126B4A" w:rsidRDefault="00D81F7E" w:rsidP="00126B4A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BF2C91" w:rsidRPr="00126B4A" w:rsidTr="000952AF">
        <w:trPr>
          <w:trHeight w:val="1444"/>
        </w:trPr>
        <w:tc>
          <w:tcPr>
            <w:tcW w:w="3499" w:type="dxa"/>
          </w:tcPr>
          <w:p w:rsidR="00BF2C91" w:rsidRPr="00126B4A" w:rsidRDefault="00BF2C91" w:rsidP="00126B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Сума поворотної фінансової допомоги, що виплачується патронатним вихователям станом на 01 січня (грн)</w:t>
            </w:r>
          </w:p>
        </w:tc>
        <w:tc>
          <w:tcPr>
            <w:tcW w:w="1145" w:type="dxa"/>
            <w:vAlign w:val="center"/>
          </w:tcPr>
          <w:p w:rsidR="00BF2C91" w:rsidRPr="005F19BF" w:rsidRDefault="00BF2C91" w:rsidP="00650595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86775</w:t>
            </w:r>
          </w:p>
        </w:tc>
        <w:tc>
          <w:tcPr>
            <w:tcW w:w="1276" w:type="dxa"/>
            <w:vAlign w:val="center"/>
          </w:tcPr>
          <w:p w:rsidR="00BF2C91" w:rsidRPr="005F19BF" w:rsidRDefault="00BF2C91" w:rsidP="006505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73520</w:t>
            </w:r>
          </w:p>
        </w:tc>
        <w:tc>
          <w:tcPr>
            <w:tcW w:w="1134" w:type="dxa"/>
            <w:vAlign w:val="center"/>
          </w:tcPr>
          <w:p w:rsidR="00BF2C91" w:rsidRPr="005F19BF" w:rsidRDefault="00BF2C91" w:rsidP="006505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77420</w:t>
            </w:r>
          </w:p>
        </w:tc>
        <w:tc>
          <w:tcPr>
            <w:tcW w:w="1276" w:type="dxa"/>
            <w:vAlign w:val="center"/>
          </w:tcPr>
          <w:p w:rsidR="00BF2C91" w:rsidRPr="004A4C69" w:rsidRDefault="00BF2C91" w:rsidP="0065059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85160</w:t>
            </w:r>
          </w:p>
        </w:tc>
        <w:tc>
          <w:tcPr>
            <w:tcW w:w="1241" w:type="dxa"/>
            <w:vAlign w:val="center"/>
          </w:tcPr>
          <w:p w:rsidR="00BF2C91" w:rsidRPr="004A4C69" w:rsidRDefault="00C078B5" w:rsidP="0065059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93680</w:t>
            </w:r>
          </w:p>
        </w:tc>
      </w:tr>
      <w:tr w:rsidR="00BF2C91" w:rsidRPr="00126B4A" w:rsidTr="0067270C">
        <w:tc>
          <w:tcPr>
            <w:tcW w:w="3499" w:type="dxa"/>
          </w:tcPr>
          <w:p w:rsidR="00BF2C91" w:rsidRPr="00126B4A" w:rsidRDefault="00BF2C91" w:rsidP="00126B4A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126B4A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Всього по Програмі</w:t>
            </w:r>
            <w:r w:rsidRPr="00126B4A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Pr="00126B4A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(орієнтовна сума) (грн) на 2026-2030 роки</w:t>
            </w:r>
          </w:p>
        </w:tc>
        <w:tc>
          <w:tcPr>
            <w:tcW w:w="6072" w:type="dxa"/>
            <w:gridSpan w:val="5"/>
          </w:tcPr>
          <w:p w:rsidR="00BF2C91" w:rsidRPr="00296677" w:rsidRDefault="00C078B5" w:rsidP="00D044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416555</w:t>
            </w:r>
            <w:bookmarkStart w:id="0" w:name="_GoBack"/>
            <w:bookmarkEnd w:id="0"/>
          </w:p>
        </w:tc>
      </w:tr>
    </w:tbl>
    <w:p w:rsidR="00126B4A" w:rsidRDefault="00126B4A" w:rsidP="00BD1F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F82" w:rsidRPr="00BD1F82" w:rsidRDefault="00BD1F82" w:rsidP="00BD1F8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1F82">
        <w:rPr>
          <w:rFonts w:ascii="Times New Roman" w:hAnsi="Times New Roman"/>
          <w:sz w:val="28"/>
          <w:szCs w:val="28"/>
          <w:lang w:val="uk-UA"/>
        </w:rPr>
        <w:t>З огляду на зазначене вище, є потреба у передбаченні коштів бюджету Чернігівської міської територіальної громади для нарахування поворотної фінансової допомоги, як вже діючим сім’ям патронатних вихователів так і тим, що будуть створюватись у перспективі.</w:t>
      </w:r>
    </w:p>
    <w:p w:rsidR="00AE33C9" w:rsidRPr="00AE33C9" w:rsidRDefault="00AE33C9" w:rsidP="00AA2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E33C9">
        <w:rPr>
          <w:rFonts w:ascii="Times New Roman" w:hAnsi="Times New Roman"/>
          <w:sz w:val="28"/>
          <w:szCs w:val="28"/>
          <w:lang w:val="uk-UA"/>
        </w:rPr>
        <w:t>Враховуючи викладене вище, просимо виконавчий комітет Чернігівської міської ради схвалити проект рішення «</w:t>
      </w:r>
      <w:r w:rsidR="00AA289B" w:rsidRPr="003A6EB4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 w:rsidR="00AA289B" w:rsidRPr="003A6EB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AA289B" w:rsidRPr="003A6EB4">
        <w:rPr>
          <w:rFonts w:ascii="Times New Roman" w:hAnsi="Times New Roman"/>
          <w:sz w:val="28"/>
          <w:szCs w:val="28"/>
          <w:lang w:val="uk-UA"/>
        </w:rPr>
        <w:t xml:space="preserve"> Програми надання поворотно</w:t>
      </w:r>
      <w:r w:rsidR="00D72D40">
        <w:rPr>
          <w:rFonts w:ascii="Times New Roman" w:hAnsi="Times New Roman"/>
          <w:sz w:val="28"/>
          <w:szCs w:val="28"/>
          <w:lang w:val="uk-UA"/>
        </w:rPr>
        <w:t>ї фінансової допомоги</w:t>
      </w:r>
      <w:r w:rsidR="00AA289B" w:rsidRPr="003A6EB4">
        <w:rPr>
          <w:rFonts w:ascii="Times New Roman" w:hAnsi="Times New Roman"/>
          <w:sz w:val="28"/>
          <w:szCs w:val="28"/>
          <w:lang w:val="uk-UA"/>
        </w:rPr>
        <w:t>, що виплачується патронатним вихователям до моменту отримання державної</w:t>
      </w:r>
      <w:r w:rsidR="00AA28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B3B">
        <w:rPr>
          <w:rFonts w:ascii="Times New Roman" w:hAnsi="Times New Roman"/>
          <w:sz w:val="28"/>
          <w:szCs w:val="28"/>
          <w:lang w:val="uk-UA"/>
        </w:rPr>
        <w:t>соціальної допомоги на 2026-2030</w:t>
      </w:r>
      <w:r w:rsidR="00AA289B" w:rsidRPr="003A6EB4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BD1F82">
        <w:rPr>
          <w:rFonts w:ascii="Times New Roman" w:hAnsi="Times New Roman"/>
          <w:sz w:val="28"/>
          <w:szCs w:val="28"/>
          <w:lang w:val="uk-UA"/>
        </w:rPr>
        <w:t>и</w:t>
      </w:r>
      <w:r w:rsidRPr="00AE33C9">
        <w:rPr>
          <w:rFonts w:ascii="Times New Roman" w:hAnsi="Times New Roman"/>
          <w:sz w:val="28"/>
          <w:szCs w:val="28"/>
          <w:lang w:val="uk-UA"/>
        </w:rPr>
        <w:t>»</w:t>
      </w:r>
    </w:p>
    <w:p w:rsidR="00AB0E87" w:rsidRDefault="00AB0E87" w:rsidP="00AA28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0E87" w:rsidRPr="00ED2BA0" w:rsidRDefault="00AB0E87" w:rsidP="00AB0E87">
      <w:pPr>
        <w:rPr>
          <w:rFonts w:ascii="Times New Roman" w:hAnsi="Times New Roman"/>
          <w:sz w:val="28"/>
          <w:szCs w:val="28"/>
        </w:rPr>
      </w:pPr>
      <w:r w:rsidRPr="00ED2BA0">
        <w:rPr>
          <w:rFonts w:ascii="Times New Roman" w:hAnsi="Times New Roman"/>
          <w:sz w:val="28"/>
          <w:szCs w:val="28"/>
        </w:rPr>
        <w:t xml:space="preserve">Начальник </w:t>
      </w:r>
      <w:r w:rsidRPr="00B140A5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ED2B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D2BA0">
        <w:rPr>
          <w:rFonts w:ascii="Times New Roman" w:hAnsi="Times New Roman"/>
          <w:sz w:val="28"/>
          <w:szCs w:val="28"/>
        </w:rPr>
        <w:t>Олена</w:t>
      </w:r>
      <w:proofErr w:type="spellEnd"/>
      <w:r w:rsidRPr="00ED2B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D2BA0">
        <w:rPr>
          <w:rFonts w:ascii="Times New Roman" w:hAnsi="Times New Roman"/>
          <w:sz w:val="28"/>
          <w:szCs w:val="28"/>
        </w:rPr>
        <w:t>З</w:t>
      </w:r>
      <w:proofErr w:type="gramEnd"/>
      <w:r w:rsidRPr="00ED2BA0">
        <w:rPr>
          <w:rFonts w:ascii="Times New Roman" w:hAnsi="Times New Roman"/>
          <w:sz w:val="28"/>
          <w:szCs w:val="28"/>
        </w:rPr>
        <w:t>ІНЧЕНКО</w:t>
      </w:r>
      <w:proofErr w:type="spellEnd"/>
    </w:p>
    <w:p w:rsidR="00AB0E87" w:rsidRDefault="00AB0E87" w:rsidP="00AB0E8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792"/>
      </w:tblGrid>
      <w:tr w:rsidR="00AB0E87" w:rsidRPr="00DA325C" w:rsidTr="00A52E6B">
        <w:tc>
          <w:tcPr>
            <w:tcW w:w="5495" w:type="dxa"/>
            <w:hideMark/>
          </w:tcPr>
          <w:p w:rsidR="00AB0E87" w:rsidRPr="00D35EBF" w:rsidRDefault="00AB0E87" w:rsidP="00A52E6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hideMark/>
          </w:tcPr>
          <w:p w:rsidR="00AB0E87" w:rsidRPr="00D35EBF" w:rsidRDefault="00AB0E87" w:rsidP="00A52E6B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F49D0" w:rsidRDefault="00EF49D0"/>
    <w:sectPr w:rsidR="00EF49D0" w:rsidSect="00EF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87"/>
    <w:rsid w:val="000D4B3B"/>
    <w:rsid w:val="00126B4A"/>
    <w:rsid w:val="00211707"/>
    <w:rsid w:val="002366A4"/>
    <w:rsid w:val="00296677"/>
    <w:rsid w:val="002F2D6F"/>
    <w:rsid w:val="003A6EB4"/>
    <w:rsid w:val="0048594F"/>
    <w:rsid w:val="005E34A6"/>
    <w:rsid w:val="00616A56"/>
    <w:rsid w:val="0062162E"/>
    <w:rsid w:val="007E08AC"/>
    <w:rsid w:val="00826F6A"/>
    <w:rsid w:val="00A0786B"/>
    <w:rsid w:val="00AA289B"/>
    <w:rsid w:val="00AB0E87"/>
    <w:rsid w:val="00AE33C9"/>
    <w:rsid w:val="00B140A5"/>
    <w:rsid w:val="00BA698D"/>
    <w:rsid w:val="00BD1F82"/>
    <w:rsid w:val="00BF2C91"/>
    <w:rsid w:val="00C078B5"/>
    <w:rsid w:val="00C208CD"/>
    <w:rsid w:val="00CB7779"/>
    <w:rsid w:val="00CE5ABD"/>
    <w:rsid w:val="00D044A9"/>
    <w:rsid w:val="00D72D40"/>
    <w:rsid w:val="00D81F7E"/>
    <w:rsid w:val="00DB6B60"/>
    <w:rsid w:val="00EB5B4A"/>
    <w:rsid w:val="00EF49D0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cxsplast">
    <w:name w:val="msonormalcxsplast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AB0E8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EB5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FF18B6"/>
  </w:style>
  <w:style w:type="paragraph" w:customStyle="1" w:styleId="a5">
    <w:name w:val="Нормальний текст"/>
    <w:basedOn w:val="a"/>
    <w:rsid w:val="00AA289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customStyle="1" w:styleId="10">
    <w:name w:val="Сетка таблицы1"/>
    <w:basedOn w:val="a1"/>
    <w:next w:val="a4"/>
    <w:uiPriority w:val="59"/>
    <w:rsid w:val="00126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cxsplast">
    <w:name w:val="msonormalcxsplast"/>
    <w:basedOn w:val="a"/>
    <w:rsid w:val="00AB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AB0E8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EB5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FF18B6"/>
  </w:style>
  <w:style w:type="paragraph" w:customStyle="1" w:styleId="a5">
    <w:name w:val="Нормальний текст"/>
    <w:basedOn w:val="a"/>
    <w:rsid w:val="00AA289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customStyle="1" w:styleId="10">
    <w:name w:val="Сетка таблицы1"/>
    <w:basedOn w:val="a1"/>
    <w:next w:val="a4"/>
    <w:uiPriority w:val="59"/>
    <w:rsid w:val="00126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User</cp:lastModifiedBy>
  <cp:revision>11</cp:revision>
  <dcterms:created xsi:type="dcterms:W3CDTF">2025-03-19T09:20:00Z</dcterms:created>
  <dcterms:modified xsi:type="dcterms:W3CDTF">2025-05-13T13:26:00Z</dcterms:modified>
</cp:coreProperties>
</file>