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4D" w:rsidRPr="0019244D" w:rsidRDefault="0019244D" w:rsidP="0019244D">
      <w:pPr>
        <w:ind w:firstLine="0"/>
        <w:jc w:val="center"/>
        <w:rPr>
          <w:szCs w:val="28"/>
          <w:lang w:val="uk-UA"/>
        </w:rPr>
      </w:pPr>
      <w:bookmarkStart w:id="0" w:name="_GoBack"/>
      <w:bookmarkEnd w:id="0"/>
      <w:r w:rsidRPr="0019244D">
        <w:rPr>
          <w:szCs w:val="28"/>
          <w:lang w:val="uk-UA"/>
        </w:rPr>
        <w:t>Пояснювальна записка</w:t>
      </w:r>
    </w:p>
    <w:p w:rsidR="0019244D" w:rsidRPr="0019244D" w:rsidRDefault="0019244D" w:rsidP="0019244D">
      <w:pPr>
        <w:ind w:firstLine="0"/>
        <w:jc w:val="center"/>
        <w:rPr>
          <w:szCs w:val="28"/>
          <w:lang w:val="uk-UA"/>
        </w:rPr>
      </w:pPr>
      <w:r w:rsidRPr="0019244D">
        <w:rPr>
          <w:szCs w:val="28"/>
          <w:lang w:val="uk-UA"/>
        </w:rPr>
        <w:t>до проекту рішення виконавчого комітету Чернігівської міської ради</w:t>
      </w:r>
    </w:p>
    <w:p w:rsidR="0019244D" w:rsidRPr="0019244D" w:rsidRDefault="0019244D" w:rsidP="0019244D">
      <w:pPr>
        <w:jc w:val="center"/>
        <w:rPr>
          <w:bCs/>
          <w:szCs w:val="28"/>
          <w:lang w:val="uk-UA"/>
        </w:rPr>
      </w:pPr>
      <w:r w:rsidRPr="0019244D">
        <w:rPr>
          <w:szCs w:val="28"/>
          <w:lang w:val="uk-UA"/>
        </w:rPr>
        <w:t>«</w:t>
      </w:r>
      <w:r w:rsidRPr="0019244D">
        <w:rPr>
          <w:bCs/>
          <w:szCs w:val="28"/>
          <w:lang w:val="uk-UA"/>
        </w:rPr>
        <w:t xml:space="preserve">Про встановлення тарифів на теплову енергію, її транспортування та постачання, послуги з постачання теплової енергії, послуги з постачання гарячої води </w:t>
      </w:r>
      <w:r>
        <w:rPr>
          <w:bCs/>
          <w:szCs w:val="28"/>
          <w:lang w:val="uk-UA"/>
        </w:rPr>
        <w:t>к</w:t>
      </w:r>
      <w:r w:rsidRPr="0019244D">
        <w:rPr>
          <w:bCs/>
          <w:szCs w:val="28"/>
          <w:lang w:val="uk-UA"/>
        </w:rPr>
        <w:t>омунальному підприємству «Теплокомуненерго» Чернігівської міської ради для потреб населення, бюджетних установ, релігійних організацій, інших споживачів</w:t>
      </w:r>
      <w:r w:rsidRPr="0019244D">
        <w:rPr>
          <w:szCs w:val="28"/>
          <w:lang w:val="uk-UA"/>
        </w:rPr>
        <w:t>»</w:t>
      </w:r>
    </w:p>
    <w:p w:rsidR="0019244D" w:rsidRDefault="0019244D" w:rsidP="00483A46">
      <w:pPr>
        <w:rPr>
          <w:rFonts w:cs="Arial"/>
          <w:szCs w:val="21"/>
          <w:shd w:val="clear" w:color="auto" w:fill="FFFFFF"/>
          <w:lang w:val="uk-UA"/>
        </w:rPr>
      </w:pPr>
    </w:p>
    <w:p w:rsidR="00C135EA" w:rsidRDefault="00C135EA" w:rsidP="00483A46">
      <w:pPr>
        <w:rPr>
          <w:rFonts w:cs="Arial"/>
          <w:szCs w:val="21"/>
          <w:shd w:val="clear" w:color="auto" w:fill="FFFFFF"/>
          <w:lang w:val="uk-UA"/>
        </w:rPr>
      </w:pPr>
      <w:r w:rsidRPr="00C135EA">
        <w:rPr>
          <w:rFonts w:cs="Arial"/>
          <w:szCs w:val="21"/>
          <w:shd w:val="clear" w:color="auto" w:fill="FFFFFF"/>
          <w:lang w:val="uk-UA"/>
        </w:rPr>
        <w:t>Комунальним підприємством "Теплокомуненерго" Чернігівської міської ради,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 червня 2011 року № 869 «Про забезпечення єдиного підходу до формування тарифів на комунальні послуги»,</w:t>
      </w:r>
      <w:r>
        <w:rPr>
          <w:rFonts w:cs="Arial"/>
          <w:szCs w:val="21"/>
          <w:shd w:val="clear" w:color="auto" w:fill="FFFFFF"/>
          <w:lang w:val="uk-UA"/>
        </w:rPr>
        <w:t xml:space="preserve"> та </w:t>
      </w:r>
      <w:r w:rsidRPr="00C135EA">
        <w:rPr>
          <w:rFonts w:cs="Arial"/>
          <w:szCs w:val="21"/>
          <w:shd w:val="clear" w:color="auto" w:fill="FFFFFF"/>
          <w:lang w:val="uk-UA"/>
        </w:rPr>
        <w:t>наказу Міністерство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проведено розрахунки тарифів на теплову енергію, її транспортування та постачання, тарифи на послугу з постачання теплової енергії та послугу з постачання гарячої води для всіх категорій споживачів КП "ТКЕ" ЧМР.</w:t>
      </w:r>
    </w:p>
    <w:p w:rsidR="00E556AB" w:rsidRPr="00357D1E" w:rsidRDefault="00E556AB" w:rsidP="00E556AB">
      <w:pPr>
        <w:autoSpaceDE w:val="0"/>
        <w:autoSpaceDN w:val="0"/>
        <w:ind w:firstLine="567"/>
        <w:rPr>
          <w:rFonts w:eastAsia="Times New Roman" w:cs="Times New Roman"/>
          <w:color w:val="000000"/>
          <w:szCs w:val="28"/>
          <w:lang w:val="uk-UA" w:eastAsia="ru-RU"/>
        </w:rPr>
      </w:pPr>
      <w:r w:rsidRPr="00357D1E">
        <w:rPr>
          <w:rFonts w:eastAsia="Times New Roman" w:cs="Times New Roman"/>
          <w:color w:val="000000"/>
          <w:szCs w:val="28"/>
          <w:lang w:val="uk-UA" w:eastAsia="ru-RU"/>
        </w:rPr>
        <w:t>КП «ТКЕ» ЧМР у відповідності до Закону України «Про ліцензування видів господарської діяльності» є ліцензіатом з виробництва електричної енергії, виробництва теплової енергії на теплоелектроцентралях. Також підприємство є ліцензіатом з транспортування та постачання теплової енергії, відповідно до розпоряджень Чернігівської обласної військової адміністрації.</w:t>
      </w:r>
    </w:p>
    <w:p w:rsidR="00C135EA" w:rsidRDefault="00C135EA" w:rsidP="00483A46">
      <w:pPr>
        <w:rPr>
          <w:rFonts w:cs="Arial"/>
          <w:szCs w:val="21"/>
          <w:shd w:val="clear" w:color="auto" w:fill="FFFFFF"/>
          <w:lang w:val="uk-UA"/>
        </w:rPr>
      </w:pPr>
      <w:r w:rsidRPr="00C135EA">
        <w:rPr>
          <w:rFonts w:cs="Arial"/>
          <w:szCs w:val="21"/>
          <w:shd w:val="clear" w:color="auto" w:fill="FFFFFF"/>
          <w:lang w:val="uk-UA"/>
        </w:rPr>
        <w:t>Відповідно до Методики формування, розрахунку та встановлення тарифів на електричну та (або) теплову енергію, що виробляється на теплоелектроцентралях, теплових електростанціях та когенераційних установках, затвердженої постановою НКРЕКП від 01.08.2017 № 991, тарифи на виробництво теплової енергії для різних категорій споживачів для КП "ТКЕ" ЧМР встановлені постановою НКРЕКП від 14.11.2023 № 2140 "Про встановлення тарифів на виробництво теплової енергії КП "ТКЕ" ЧМР"</w:t>
      </w:r>
      <w:r>
        <w:rPr>
          <w:rFonts w:cs="Arial"/>
          <w:szCs w:val="21"/>
          <w:shd w:val="clear" w:color="auto" w:fill="FFFFFF"/>
          <w:lang w:val="uk-UA"/>
        </w:rPr>
        <w:t>.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FA21C8">
        <w:rPr>
          <w:rFonts w:cs="Times New Roman"/>
          <w:noProof/>
          <w:color w:val="000000"/>
          <w:szCs w:val="28"/>
          <w:lang w:val="uk-UA"/>
        </w:rPr>
        <w:t>Повна планова собівартості</w:t>
      </w:r>
      <w:r w:rsidR="00027A44">
        <w:rPr>
          <w:rFonts w:cs="Times New Roman"/>
          <w:noProof/>
          <w:color w:val="000000"/>
          <w:szCs w:val="28"/>
          <w:lang w:val="uk-UA"/>
        </w:rPr>
        <w:t xml:space="preserve"> транспортування та постачання теплової енергії під розрахунок тарифів</w:t>
      </w:r>
      <w:r w:rsidRPr="00FA21C8">
        <w:rPr>
          <w:rFonts w:cs="Times New Roman"/>
          <w:noProof/>
          <w:color w:val="000000"/>
          <w:szCs w:val="28"/>
          <w:lang w:val="uk-UA"/>
        </w:rPr>
        <w:t xml:space="preserve"> групуються за наступними статтями витрат :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витрати виробничої собівартості;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адміністративні витрати.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1. До складу витрат виробничої собівартості включаються: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прямі матеріальні витрати;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прямі витрати на оплату праці (заробітна плата та інші виплати персоналу, безпосередньо  зайнятому  в  технологічному процесі);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інші прямі витрати;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- загальновиробничі витрати.</w:t>
      </w:r>
    </w:p>
    <w:p w:rsidR="00E556AB" w:rsidRPr="004A5931" w:rsidRDefault="00E556AB" w:rsidP="00E556AB">
      <w:pPr>
        <w:ind w:firstLine="567"/>
        <w:rPr>
          <w:szCs w:val="28"/>
          <w:lang w:val="uk-UA" w:eastAsia="ru-RU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2. До складу адміністративних витрат включаються витрати на обслуговування та управління підприємством (</w:t>
      </w:r>
      <w:r w:rsidRPr="004A5931">
        <w:rPr>
          <w:szCs w:val="24"/>
          <w:lang w:val="uk-UA"/>
        </w:rPr>
        <w:t xml:space="preserve">розподіл адміністративних витрат за всіма видами діяльності (на виробництво електричної та теплової </w:t>
      </w:r>
      <w:r w:rsidRPr="004A5931">
        <w:rPr>
          <w:szCs w:val="24"/>
          <w:lang w:val="uk-UA"/>
        </w:rPr>
        <w:lastRenderedPageBreak/>
        <w:t>енергії, транспортування теплової енергії, постачання теплової енергії та інші види діяльності) здійснюється пропорційно виробничій собівартості кожного виду діяльності, відповідно до Наказу про облікову політику на КП "ТКЕ" ЧМР).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Всі планові витрати по кожному виду діяльності (виробництво теплової енергії, її транспортування і постачання), розподіляються між 4 категоріями споживачів: населення, бюджетні установи, інші споживачі, релігійні організації. У частині виробництва теплової енергії пропорційно відпуску теплової енергії з колекторів для кожної з груп споживачів, у частині транпортування і постачання теплової енергії – пропорційно корисному відпуску, що буде реалізовано відповідній категорії споживачів.</w:t>
      </w:r>
    </w:p>
    <w:p w:rsidR="00C135EA" w:rsidRPr="00781498" w:rsidRDefault="00C135EA" w:rsidP="00C135EA">
      <w:pPr>
        <w:ind w:firstLine="567"/>
        <w:rPr>
          <w:rFonts w:cs="Times New Roman"/>
          <w:i/>
          <w:noProof/>
          <w:color w:val="000000"/>
          <w:sz w:val="20"/>
          <w:szCs w:val="28"/>
          <w:lang w:val="uk-UA"/>
        </w:rPr>
      </w:pPr>
    </w:p>
    <w:p w:rsidR="00E556AB" w:rsidRPr="004A5931" w:rsidRDefault="00E556AB" w:rsidP="00E556AB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4A5931">
        <w:rPr>
          <w:rFonts w:cs="Times New Roman"/>
          <w:i/>
          <w:noProof/>
          <w:color w:val="000000"/>
          <w:szCs w:val="28"/>
          <w:lang w:val="uk-UA"/>
        </w:rPr>
        <w:t>Матеріальні витрати.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 xml:space="preserve">У розрахунках тарифів на транспортування теплової енергії враховані витрати на виконання ремонтів підрядним та господарським способом на рівні, що забезпечить надійну, ефективну та безвідмовну роботу обладнання та устаткування підприємства, а також підвищить надійність теплопостачання для споживачів. 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 xml:space="preserve">Інші економічно обґрунтовані матеріальні витрати, що розраховані на підставі державних, галузевих нормативів витрат ресурсів, техніко-економічних розрахунків, кошторисів, з урахуванням ставок податків і зборів, цін на матеріальні ресурси та послуги у планованому періоді у тарифах на транспортування та постачання теплової енергії враховані на достатньому рівні для забезпечення стабільної господарської діяльності підприємства протягом планового періоду. 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Ціни на паливно-мастильні матеріали, хімреагенти, необхідні комплектуючі матеріали, запчастини, інші матеріали та послуги прийняті на підставі цін, які склалися на ринку України, комерційних пропозицій, договорів та інших підтверджуючих документів, з урахуванням зростання в межах прогнозного індексу цін виробників промислової продукції, визначеного згідно з постановою Кабінету Міністрів України від 15 грудня 2023 р. № 1315 «Про схвалення основних прогнозних макропоказників економічного і соціального розвитку України на 2024-2026 роки».</w:t>
      </w:r>
    </w:p>
    <w:p w:rsidR="00E556AB" w:rsidRPr="00357D1E" w:rsidRDefault="00E556AB" w:rsidP="00E556AB">
      <w:pPr>
        <w:ind w:firstLine="567"/>
        <w:rPr>
          <w:rFonts w:cs="Times New Roman"/>
          <w:noProof/>
          <w:color w:val="000000"/>
          <w:sz w:val="22"/>
          <w:szCs w:val="28"/>
          <w:highlight w:val="yellow"/>
          <w:lang w:val="uk-UA"/>
        </w:rPr>
      </w:pPr>
    </w:p>
    <w:p w:rsidR="00E556AB" w:rsidRPr="004A5931" w:rsidRDefault="00E556AB" w:rsidP="00E556AB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4A5931">
        <w:rPr>
          <w:rFonts w:cs="Times New Roman"/>
          <w:i/>
          <w:noProof/>
          <w:color w:val="000000"/>
          <w:szCs w:val="28"/>
          <w:lang w:val="uk-UA"/>
        </w:rPr>
        <w:t>Електроенергія.</w:t>
      </w:r>
    </w:p>
    <w:p w:rsidR="00E556AB" w:rsidRPr="004A5931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A5931">
        <w:rPr>
          <w:rFonts w:cs="Times New Roman"/>
          <w:noProof/>
          <w:color w:val="000000"/>
          <w:szCs w:val="28"/>
          <w:lang w:val="uk-UA"/>
        </w:rPr>
        <w:t>Розрахунок витрат на електричну енергію для транспортування теплової енергії здійснено відповідно до нормативних витрат, що розраховані згідно наказу Міністерства з питань житлово-комунального господарства України від 02.02.2009 № 12 "Про затвердження Порядку розрахунку нормативних витрат електроенергії підприємствами теплоенергетики при виробництві, транспортуванні та постачанні (розподілі) теплової енергії", та тарифів на постачання та розподіл електричної енергії, що підтверджується рахунками.</w:t>
      </w:r>
    </w:p>
    <w:p w:rsidR="00E556AB" w:rsidRPr="00357D1E" w:rsidRDefault="00E556AB" w:rsidP="00E556AB">
      <w:pPr>
        <w:ind w:firstLine="567"/>
        <w:rPr>
          <w:rFonts w:cs="Times New Roman"/>
          <w:noProof/>
          <w:color w:val="000000"/>
          <w:sz w:val="22"/>
          <w:szCs w:val="28"/>
          <w:highlight w:val="yellow"/>
          <w:lang w:val="uk-UA"/>
        </w:rPr>
      </w:pPr>
    </w:p>
    <w:p w:rsidR="00E556AB" w:rsidRPr="00045068" w:rsidRDefault="00E556AB" w:rsidP="00E556AB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045068">
        <w:rPr>
          <w:rFonts w:cs="Times New Roman"/>
          <w:i/>
          <w:noProof/>
          <w:color w:val="000000"/>
          <w:szCs w:val="28"/>
          <w:lang w:val="uk-UA"/>
        </w:rPr>
        <w:t>Витрати на оплату праці.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 xml:space="preserve">Планування витрат на фонд оплати праці працівників, що відносяться до виду діяльності транспортування та постачання теплової енергії, здійснено відповідно до Бюджету України на 2024 рік з середньозваженим річним </w:t>
      </w:r>
      <w:r w:rsidRPr="00045068">
        <w:rPr>
          <w:rFonts w:cs="Times New Roman"/>
          <w:noProof/>
          <w:color w:val="000000"/>
          <w:szCs w:val="28"/>
          <w:lang w:val="uk-UA"/>
        </w:rPr>
        <w:lastRenderedPageBreak/>
        <w:t>мінімальним прожитковим мінімумом для працездатних осіб у розмірі 3 028 грн, згідно Галузевої угоди між Міністерством розвитку громад та територій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2023-2027 роки та Колективного договору підприємства.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При розрахунку фонду оплати праці було використано наступні коефіцієнти: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- мінімальна тарифна ставка (оклад) робітника І розряду встановлюється у розмірі 200 відсотків розміру мінімального прожиткового мінімуму, встановленого для працездатних осіб (п. 3.1.2. Галузевої угоди);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-</w:t>
      </w:r>
      <w:r w:rsidRPr="00045068">
        <w:rPr>
          <w:rFonts w:cs="Times New Roman"/>
          <w:noProof/>
          <w:color w:val="000000"/>
          <w:szCs w:val="28"/>
        </w:rPr>
        <w:t> </w:t>
      </w:r>
      <w:r w:rsidRPr="00045068">
        <w:rPr>
          <w:rFonts w:cs="Times New Roman"/>
          <w:noProof/>
          <w:color w:val="000000"/>
          <w:szCs w:val="28"/>
          <w:lang w:val="uk-UA"/>
        </w:rPr>
        <w:t>коефіцієнт співвідношення по видам робіт: експлуатація та обслуговування обладнання  котелень, теплових пунктів, теплових та електричних мереж. (додаток № 2 Галузевої угоди);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- міжрозрядні тарифні коефіцієнти;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- коефіцієнти керівників, професіоналів, фахівців та технічних службовців.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 w:val="22"/>
          <w:szCs w:val="28"/>
          <w:lang w:val="uk-UA"/>
        </w:rPr>
      </w:pPr>
    </w:p>
    <w:p w:rsidR="00E556AB" w:rsidRPr="00045068" w:rsidRDefault="00E556AB" w:rsidP="00E556AB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045068">
        <w:rPr>
          <w:rFonts w:cs="Times New Roman"/>
          <w:i/>
          <w:noProof/>
          <w:color w:val="000000"/>
          <w:szCs w:val="28"/>
          <w:lang w:val="uk-UA"/>
        </w:rPr>
        <w:t>Амортизаційні відрахування.</w:t>
      </w:r>
    </w:p>
    <w:p w:rsidR="00E556AB" w:rsidRPr="00045068" w:rsidRDefault="00E556AB" w:rsidP="00E556AB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045068">
        <w:rPr>
          <w:rFonts w:cs="Times New Roman"/>
          <w:noProof/>
          <w:color w:val="000000"/>
          <w:szCs w:val="28"/>
          <w:lang w:val="uk-UA"/>
        </w:rPr>
        <w:t>Амортизаційні відрахування розраховане на обладнання, що було передано у повне господарське відання КП «ТКЕ» ЧМР з застосуванням прямолінійного методу нарахування амортизації з врахуванням строків мінімального корисного використання відповідно до Податкового кодексу України.</w:t>
      </w:r>
    </w:p>
    <w:p w:rsidR="00027A44" w:rsidRDefault="00027A44" w:rsidP="00027A44">
      <w:pPr>
        <w:ind w:firstLine="567"/>
        <w:rPr>
          <w:rFonts w:cs="Times New Roman"/>
          <w:noProof/>
          <w:color w:val="000000"/>
          <w:szCs w:val="28"/>
          <w:lang w:val="uk-UA"/>
        </w:rPr>
      </w:pPr>
    </w:p>
    <w:p w:rsidR="00027A44" w:rsidRDefault="00027A44" w:rsidP="00027A44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CE09F5">
        <w:rPr>
          <w:rFonts w:cs="Times New Roman"/>
          <w:noProof/>
          <w:color w:val="000000"/>
          <w:szCs w:val="28"/>
          <w:lang w:val="uk-UA"/>
        </w:rPr>
        <w:t>З метою виконання Ліцензійних умов провадження господарської діяльності з виробництва, транспортування та постачання теплової енергії всім категоріям споживачів, а також надання послуг з постачання теплової енергії та постачання гарячої води, КП "ТКЕ" ЧМР звертається до Виконавчого комітету Чернігівської міської ради із заявою про встановлення тарифів з проханням розглянути подані документи і встановити тарифи на теплову енергію: виробництво теплової енергії, транспортування теплової енергії, постачання теплової енергії та послугу з постачання теплової енергії та гарячої води за категоріями споживачів.</w:t>
      </w:r>
    </w:p>
    <w:p w:rsidR="00E344E9" w:rsidRDefault="00E344E9" w:rsidP="00E344E9">
      <w:pPr>
        <w:ind w:firstLine="0"/>
        <w:rPr>
          <w:rFonts w:cs="Times New Roman"/>
          <w:bCs/>
          <w:szCs w:val="28"/>
          <w:lang w:val="uk-UA"/>
        </w:rPr>
      </w:pPr>
    </w:p>
    <w:p w:rsidR="0074697F" w:rsidRPr="00AC194F" w:rsidRDefault="0074697F" w:rsidP="00E344E9">
      <w:pPr>
        <w:ind w:firstLine="0"/>
        <w:rPr>
          <w:rFonts w:cs="Times New Roman"/>
          <w:bCs/>
          <w:szCs w:val="28"/>
          <w:lang w:val="uk-UA"/>
        </w:rPr>
      </w:pPr>
    </w:p>
    <w:p w:rsidR="0038004F" w:rsidRPr="00F90288" w:rsidRDefault="006C7116" w:rsidP="001F44BE">
      <w:pPr>
        <w:tabs>
          <w:tab w:val="left" w:pos="5812"/>
        </w:tabs>
        <w:ind w:firstLine="0"/>
        <w:rPr>
          <w:rFonts w:cs="Times New Roman"/>
          <w:bCs/>
          <w:szCs w:val="28"/>
          <w:lang w:val="uk-UA"/>
        </w:rPr>
      </w:pPr>
      <w:r w:rsidRPr="00F90288">
        <w:rPr>
          <w:rFonts w:cs="Times New Roman"/>
          <w:bCs/>
          <w:szCs w:val="28"/>
          <w:lang w:val="uk-UA"/>
        </w:rPr>
        <w:t>Директор</w:t>
      </w:r>
      <w:r w:rsidR="001F44BE" w:rsidRPr="00F90288">
        <w:rPr>
          <w:rFonts w:cs="Times New Roman"/>
          <w:bCs/>
          <w:szCs w:val="28"/>
          <w:lang w:val="uk-UA"/>
        </w:rPr>
        <w:tab/>
      </w:r>
      <w:r w:rsidR="00E556AB">
        <w:rPr>
          <w:rFonts w:cs="Times New Roman"/>
          <w:bCs/>
          <w:szCs w:val="28"/>
          <w:lang w:val="uk-UA"/>
        </w:rPr>
        <w:tab/>
      </w:r>
      <w:r w:rsidRPr="00F90288">
        <w:rPr>
          <w:rFonts w:cs="Times New Roman"/>
          <w:szCs w:val="28"/>
          <w:lang w:val="uk-UA"/>
        </w:rPr>
        <w:t>Дмитро</w:t>
      </w:r>
      <w:r w:rsidR="0038004F" w:rsidRPr="00F90288">
        <w:rPr>
          <w:rFonts w:cs="Times New Roman"/>
          <w:bCs/>
          <w:szCs w:val="28"/>
          <w:lang w:val="uk-UA"/>
        </w:rPr>
        <w:t xml:space="preserve"> </w:t>
      </w:r>
      <w:r w:rsidRPr="00F90288">
        <w:rPr>
          <w:rFonts w:cs="Times New Roman"/>
          <w:bCs/>
          <w:szCs w:val="28"/>
          <w:lang w:val="uk-UA"/>
        </w:rPr>
        <w:t>КОВАЛЕНКО</w:t>
      </w:r>
    </w:p>
    <w:p w:rsidR="00E344E9" w:rsidRPr="00F90288" w:rsidRDefault="00E344E9" w:rsidP="0038004F">
      <w:pPr>
        <w:tabs>
          <w:tab w:val="left" w:pos="7088"/>
        </w:tabs>
        <w:ind w:firstLine="0"/>
        <w:rPr>
          <w:rFonts w:cs="Times New Roman"/>
          <w:bCs/>
          <w:szCs w:val="28"/>
          <w:lang w:val="uk-UA"/>
        </w:rPr>
      </w:pPr>
    </w:p>
    <w:sectPr w:rsidR="00E344E9" w:rsidRPr="00F90288" w:rsidSect="00B85D0B">
      <w:headerReference w:type="default" r:id="rId7"/>
      <w:pgSz w:w="11906" w:h="16838" w:code="9"/>
      <w:pgMar w:top="737" w:right="567" w:bottom="73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1B" w:rsidRDefault="002A741B" w:rsidP="00AF3707">
      <w:r>
        <w:separator/>
      </w:r>
    </w:p>
  </w:endnote>
  <w:endnote w:type="continuationSeparator" w:id="0">
    <w:p w:rsidR="002A741B" w:rsidRDefault="002A741B" w:rsidP="00A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1B" w:rsidRDefault="002A741B" w:rsidP="00AF3707">
      <w:r>
        <w:separator/>
      </w:r>
    </w:p>
  </w:footnote>
  <w:footnote w:type="continuationSeparator" w:id="0">
    <w:p w:rsidR="002A741B" w:rsidRDefault="002A741B" w:rsidP="00AF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04350"/>
      <w:docPartObj>
        <w:docPartGallery w:val="Page Numbers (Top of Page)"/>
        <w:docPartUnique/>
      </w:docPartObj>
    </w:sdtPr>
    <w:sdtEndPr/>
    <w:sdtContent>
      <w:p w:rsidR="00C135EA" w:rsidRPr="00AF3707" w:rsidRDefault="00C135EA" w:rsidP="00AF3707">
        <w:pPr>
          <w:pStyle w:val="a6"/>
          <w:ind w:firstLine="0"/>
          <w:jc w:val="center"/>
        </w:pPr>
        <w:r w:rsidRPr="00AF3707">
          <w:rPr>
            <w:sz w:val="24"/>
            <w:szCs w:val="24"/>
          </w:rPr>
          <w:fldChar w:fldCharType="begin"/>
        </w:r>
        <w:r w:rsidRPr="00AF3707">
          <w:rPr>
            <w:sz w:val="24"/>
            <w:szCs w:val="24"/>
          </w:rPr>
          <w:instrText>PAGE   \* MERGEFORMAT</w:instrText>
        </w:r>
        <w:r w:rsidRPr="00AF3707">
          <w:rPr>
            <w:sz w:val="24"/>
            <w:szCs w:val="24"/>
          </w:rPr>
          <w:fldChar w:fldCharType="separate"/>
        </w:r>
        <w:r w:rsidR="008E43A1">
          <w:rPr>
            <w:noProof/>
            <w:sz w:val="24"/>
            <w:szCs w:val="24"/>
          </w:rPr>
          <w:t>3</w:t>
        </w:r>
        <w:r w:rsidRPr="00AF370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F31"/>
    <w:multiLevelType w:val="hybridMultilevel"/>
    <w:tmpl w:val="BF92B794"/>
    <w:lvl w:ilvl="0" w:tplc="5F1E9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47E49"/>
    <w:multiLevelType w:val="hybridMultilevel"/>
    <w:tmpl w:val="4F18B1EA"/>
    <w:lvl w:ilvl="0" w:tplc="C570F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33"/>
    <w:rsid w:val="0000042A"/>
    <w:rsid w:val="00012798"/>
    <w:rsid w:val="00027A44"/>
    <w:rsid w:val="000527EA"/>
    <w:rsid w:val="00057515"/>
    <w:rsid w:val="00064149"/>
    <w:rsid w:val="00072571"/>
    <w:rsid w:val="00077B59"/>
    <w:rsid w:val="000906BF"/>
    <w:rsid w:val="000915EA"/>
    <w:rsid w:val="000B245A"/>
    <w:rsid w:val="000C0BCE"/>
    <w:rsid w:val="000C4DD4"/>
    <w:rsid w:val="000D7FAA"/>
    <w:rsid w:val="000E0DB7"/>
    <w:rsid w:val="000E6D55"/>
    <w:rsid w:val="000E7586"/>
    <w:rsid w:val="000F398C"/>
    <w:rsid w:val="00110B54"/>
    <w:rsid w:val="00141B6D"/>
    <w:rsid w:val="00161DB6"/>
    <w:rsid w:val="00162B8F"/>
    <w:rsid w:val="0016691C"/>
    <w:rsid w:val="001700C1"/>
    <w:rsid w:val="00172347"/>
    <w:rsid w:val="0019244D"/>
    <w:rsid w:val="00193975"/>
    <w:rsid w:val="001C4CFD"/>
    <w:rsid w:val="001F44BE"/>
    <w:rsid w:val="00204E1B"/>
    <w:rsid w:val="00211183"/>
    <w:rsid w:val="00230615"/>
    <w:rsid w:val="00234A8E"/>
    <w:rsid w:val="002657A3"/>
    <w:rsid w:val="00271FB2"/>
    <w:rsid w:val="00285C83"/>
    <w:rsid w:val="002871FA"/>
    <w:rsid w:val="00296514"/>
    <w:rsid w:val="0029704E"/>
    <w:rsid w:val="002A3B44"/>
    <w:rsid w:val="002A741B"/>
    <w:rsid w:val="002C0AC4"/>
    <w:rsid w:val="002C4301"/>
    <w:rsid w:val="002C6BE0"/>
    <w:rsid w:val="002D3C88"/>
    <w:rsid w:val="002D48FE"/>
    <w:rsid w:val="002E151E"/>
    <w:rsid w:val="002E5AF6"/>
    <w:rsid w:val="002E6989"/>
    <w:rsid w:val="002F1115"/>
    <w:rsid w:val="002F3148"/>
    <w:rsid w:val="002F6C10"/>
    <w:rsid w:val="00320359"/>
    <w:rsid w:val="0032755D"/>
    <w:rsid w:val="003305E4"/>
    <w:rsid w:val="003364ED"/>
    <w:rsid w:val="00343283"/>
    <w:rsid w:val="00347F55"/>
    <w:rsid w:val="00352638"/>
    <w:rsid w:val="00354CB9"/>
    <w:rsid w:val="003616D8"/>
    <w:rsid w:val="00371AFA"/>
    <w:rsid w:val="00372C62"/>
    <w:rsid w:val="0038004F"/>
    <w:rsid w:val="0038250F"/>
    <w:rsid w:val="003A7025"/>
    <w:rsid w:val="003F2328"/>
    <w:rsid w:val="00410607"/>
    <w:rsid w:val="004126A8"/>
    <w:rsid w:val="00454A4B"/>
    <w:rsid w:val="00470889"/>
    <w:rsid w:val="00472F3E"/>
    <w:rsid w:val="00483A46"/>
    <w:rsid w:val="00483AA2"/>
    <w:rsid w:val="004C4ED6"/>
    <w:rsid w:val="004C66D6"/>
    <w:rsid w:val="004D3BBE"/>
    <w:rsid w:val="004D4E91"/>
    <w:rsid w:val="004D66AE"/>
    <w:rsid w:val="004E1E8C"/>
    <w:rsid w:val="004E4945"/>
    <w:rsid w:val="004F19E7"/>
    <w:rsid w:val="004F6387"/>
    <w:rsid w:val="005015A8"/>
    <w:rsid w:val="00502807"/>
    <w:rsid w:val="00513181"/>
    <w:rsid w:val="0052081A"/>
    <w:rsid w:val="005224C9"/>
    <w:rsid w:val="00523D1F"/>
    <w:rsid w:val="005260D5"/>
    <w:rsid w:val="00535570"/>
    <w:rsid w:val="00554D8F"/>
    <w:rsid w:val="005553B3"/>
    <w:rsid w:val="005558D4"/>
    <w:rsid w:val="00561F88"/>
    <w:rsid w:val="00562AAF"/>
    <w:rsid w:val="0057051D"/>
    <w:rsid w:val="00574DFF"/>
    <w:rsid w:val="00586A09"/>
    <w:rsid w:val="00597F69"/>
    <w:rsid w:val="005A631C"/>
    <w:rsid w:val="005A6789"/>
    <w:rsid w:val="005B3D92"/>
    <w:rsid w:val="005C6153"/>
    <w:rsid w:val="005C67A6"/>
    <w:rsid w:val="005E49DF"/>
    <w:rsid w:val="005E75CA"/>
    <w:rsid w:val="005F19E5"/>
    <w:rsid w:val="005F42CE"/>
    <w:rsid w:val="005F7561"/>
    <w:rsid w:val="00601E4E"/>
    <w:rsid w:val="0060774C"/>
    <w:rsid w:val="006128B8"/>
    <w:rsid w:val="00646B45"/>
    <w:rsid w:val="0065439E"/>
    <w:rsid w:val="006708A0"/>
    <w:rsid w:val="0068701D"/>
    <w:rsid w:val="0069590B"/>
    <w:rsid w:val="006A3B2F"/>
    <w:rsid w:val="006A74EE"/>
    <w:rsid w:val="006B75C6"/>
    <w:rsid w:val="006C6DC8"/>
    <w:rsid w:val="006C7116"/>
    <w:rsid w:val="006E68CA"/>
    <w:rsid w:val="006F134B"/>
    <w:rsid w:val="006F1AE1"/>
    <w:rsid w:val="00715834"/>
    <w:rsid w:val="00727E71"/>
    <w:rsid w:val="0074697F"/>
    <w:rsid w:val="00757667"/>
    <w:rsid w:val="00760A95"/>
    <w:rsid w:val="00761BEB"/>
    <w:rsid w:val="00762991"/>
    <w:rsid w:val="00762CC1"/>
    <w:rsid w:val="007650B8"/>
    <w:rsid w:val="007719CF"/>
    <w:rsid w:val="00774435"/>
    <w:rsid w:val="007759E1"/>
    <w:rsid w:val="007859FA"/>
    <w:rsid w:val="0078651A"/>
    <w:rsid w:val="00796B54"/>
    <w:rsid w:val="007A252C"/>
    <w:rsid w:val="007C52B2"/>
    <w:rsid w:val="00810492"/>
    <w:rsid w:val="0082449B"/>
    <w:rsid w:val="00833722"/>
    <w:rsid w:val="0085169C"/>
    <w:rsid w:val="00853C73"/>
    <w:rsid w:val="0085410D"/>
    <w:rsid w:val="008676C6"/>
    <w:rsid w:val="008740C5"/>
    <w:rsid w:val="0087647B"/>
    <w:rsid w:val="008957CA"/>
    <w:rsid w:val="008A11E7"/>
    <w:rsid w:val="008B17A1"/>
    <w:rsid w:val="008C1B5A"/>
    <w:rsid w:val="008C285A"/>
    <w:rsid w:val="008E43A1"/>
    <w:rsid w:val="008E7333"/>
    <w:rsid w:val="009003B1"/>
    <w:rsid w:val="00904E32"/>
    <w:rsid w:val="0091750E"/>
    <w:rsid w:val="009206C6"/>
    <w:rsid w:val="00935141"/>
    <w:rsid w:val="00941BBE"/>
    <w:rsid w:val="00953381"/>
    <w:rsid w:val="009558AF"/>
    <w:rsid w:val="00963B11"/>
    <w:rsid w:val="00975C6D"/>
    <w:rsid w:val="00983CB0"/>
    <w:rsid w:val="009908EB"/>
    <w:rsid w:val="00991236"/>
    <w:rsid w:val="00997A01"/>
    <w:rsid w:val="009E0013"/>
    <w:rsid w:val="009E67D7"/>
    <w:rsid w:val="00A03956"/>
    <w:rsid w:val="00A058CA"/>
    <w:rsid w:val="00A24E90"/>
    <w:rsid w:val="00A25A55"/>
    <w:rsid w:val="00A45E13"/>
    <w:rsid w:val="00A52735"/>
    <w:rsid w:val="00A5344F"/>
    <w:rsid w:val="00A53D92"/>
    <w:rsid w:val="00A96269"/>
    <w:rsid w:val="00AA218C"/>
    <w:rsid w:val="00AB1BF4"/>
    <w:rsid w:val="00AB5048"/>
    <w:rsid w:val="00AB582E"/>
    <w:rsid w:val="00AC03BB"/>
    <w:rsid w:val="00AC03D5"/>
    <w:rsid w:val="00AC194F"/>
    <w:rsid w:val="00AD20CF"/>
    <w:rsid w:val="00AD4BB9"/>
    <w:rsid w:val="00AE0CDA"/>
    <w:rsid w:val="00AF3707"/>
    <w:rsid w:val="00B032FA"/>
    <w:rsid w:val="00B21C3C"/>
    <w:rsid w:val="00B232B2"/>
    <w:rsid w:val="00B315D9"/>
    <w:rsid w:val="00B33F72"/>
    <w:rsid w:val="00B3471C"/>
    <w:rsid w:val="00B437EE"/>
    <w:rsid w:val="00B51B0E"/>
    <w:rsid w:val="00B66DE6"/>
    <w:rsid w:val="00B835E5"/>
    <w:rsid w:val="00B85D0B"/>
    <w:rsid w:val="00B90C49"/>
    <w:rsid w:val="00BA1710"/>
    <w:rsid w:val="00BB7186"/>
    <w:rsid w:val="00BE2285"/>
    <w:rsid w:val="00C10A0F"/>
    <w:rsid w:val="00C135EA"/>
    <w:rsid w:val="00C70C89"/>
    <w:rsid w:val="00C80FB8"/>
    <w:rsid w:val="00CA3202"/>
    <w:rsid w:val="00CB3327"/>
    <w:rsid w:val="00CB5F85"/>
    <w:rsid w:val="00CC031A"/>
    <w:rsid w:val="00CE09F5"/>
    <w:rsid w:val="00CF68E3"/>
    <w:rsid w:val="00D55F38"/>
    <w:rsid w:val="00D7001D"/>
    <w:rsid w:val="00D733C1"/>
    <w:rsid w:val="00D80E64"/>
    <w:rsid w:val="00DB248A"/>
    <w:rsid w:val="00DB777F"/>
    <w:rsid w:val="00DC051C"/>
    <w:rsid w:val="00DE1626"/>
    <w:rsid w:val="00DF320A"/>
    <w:rsid w:val="00DF5355"/>
    <w:rsid w:val="00DF67E0"/>
    <w:rsid w:val="00E2099D"/>
    <w:rsid w:val="00E218B9"/>
    <w:rsid w:val="00E21AF7"/>
    <w:rsid w:val="00E2201C"/>
    <w:rsid w:val="00E332FB"/>
    <w:rsid w:val="00E344E9"/>
    <w:rsid w:val="00E42D23"/>
    <w:rsid w:val="00E43EE1"/>
    <w:rsid w:val="00E50FB5"/>
    <w:rsid w:val="00E51874"/>
    <w:rsid w:val="00E556AB"/>
    <w:rsid w:val="00E56D6F"/>
    <w:rsid w:val="00E64161"/>
    <w:rsid w:val="00E945A1"/>
    <w:rsid w:val="00E94AE3"/>
    <w:rsid w:val="00EA10DB"/>
    <w:rsid w:val="00EE186D"/>
    <w:rsid w:val="00EE64F9"/>
    <w:rsid w:val="00EE6B61"/>
    <w:rsid w:val="00EF1F3E"/>
    <w:rsid w:val="00EF6EB3"/>
    <w:rsid w:val="00F24366"/>
    <w:rsid w:val="00F26EDE"/>
    <w:rsid w:val="00F30B99"/>
    <w:rsid w:val="00F33723"/>
    <w:rsid w:val="00F54ED6"/>
    <w:rsid w:val="00F57A39"/>
    <w:rsid w:val="00F71629"/>
    <w:rsid w:val="00F77139"/>
    <w:rsid w:val="00F77567"/>
    <w:rsid w:val="00F77F91"/>
    <w:rsid w:val="00F90288"/>
    <w:rsid w:val="00FB6636"/>
    <w:rsid w:val="00FC35F0"/>
    <w:rsid w:val="00FC7245"/>
    <w:rsid w:val="00FE54A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FACAC-50F4-4E29-91C9-98AB318A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148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1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51D"/>
  </w:style>
  <w:style w:type="character" w:styleId="a4">
    <w:name w:val="Hyperlink"/>
    <w:basedOn w:val="a0"/>
    <w:uiPriority w:val="99"/>
    <w:unhideWhenUsed/>
    <w:rsid w:val="00570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24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707"/>
  </w:style>
  <w:style w:type="paragraph" w:styleId="a8">
    <w:name w:val="footer"/>
    <w:basedOn w:val="a"/>
    <w:link w:val="a9"/>
    <w:uiPriority w:val="99"/>
    <w:unhideWhenUsed/>
    <w:rsid w:val="00AF3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707"/>
  </w:style>
  <w:style w:type="paragraph" w:styleId="aa">
    <w:name w:val="Balloon Text"/>
    <w:basedOn w:val="a"/>
    <w:link w:val="ab"/>
    <w:uiPriority w:val="99"/>
    <w:semiHidden/>
    <w:unhideWhenUsed/>
    <w:rsid w:val="00D55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314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2F3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Admin</cp:lastModifiedBy>
  <cp:revision>2</cp:revision>
  <cp:lastPrinted>2022-07-26T12:02:00Z</cp:lastPrinted>
  <dcterms:created xsi:type="dcterms:W3CDTF">2024-09-30T07:38:00Z</dcterms:created>
  <dcterms:modified xsi:type="dcterms:W3CDTF">2024-09-30T07:38:00Z</dcterms:modified>
</cp:coreProperties>
</file>