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95FD9" w:rsidRDefault="00595FD9">
      <w:pPr>
        <w:pStyle w:val="aa"/>
        <w:spacing w:beforeAutospacing="0" w:after="0" w:afterAutospacing="0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595FD9" w:rsidRDefault="003212C1">
      <w:pPr>
        <w:pStyle w:val="aa"/>
        <w:spacing w:beforeAutospacing="0" w:after="0" w:afterAutospacing="0"/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ПОЯСНЮВАЛЬНА ЗАПИСКА</w:t>
      </w:r>
    </w:p>
    <w:p w:rsidR="00595FD9" w:rsidRDefault="003212C1">
      <w:pPr>
        <w:pStyle w:val="aa"/>
        <w:spacing w:beforeAutospacing="0" w:after="0" w:afterAutospacing="0"/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проекту рішення </w:t>
      </w:r>
      <w:r>
        <w:rPr>
          <w:color w:val="000000"/>
          <w:sz w:val="28"/>
          <w:szCs w:val="28"/>
        </w:rPr>
        <w:t>Чернігівської міської ради</w:t>
      </w:r>
    </w:p>
    <w:p w:rsidR="00595FD9" w:rsidRDefault="003212C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затверд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ження Програми забезпечення діяльності комунального підприємства «Муніципальна поліція» Чернігівської міської ради на 2017 рік»</w:t>
      </w:r>
    </w:p>
    <w:p w:rsidR="00595FD9" w:rsidRDefault="00595FD9">
      <w:pPr>
        <w:pStyle w:val="aa"/>
        <w:spacing w:beforeAutospacing="0" w:after="0" w:afterAutospacing="0"/>
        <w:jc w:val="both"/>
        <w:rPr>
          <w:color w:val="000000"/>
          <w:sz w:val="28"/>
          <w:szCs w:val="28"/>
        </w:rPr>
      </w:pPr>
    </w:p>
    <w:p w:rsidR="00595FD9" w:rsidRDefault="003212C1">
      <w:pPr>
        <w:pStyle w:val="aa"/>
        <w:spacing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Рішенням сесії </w:t>
      </w:r>
      <w:r>
        <w:rPr>
          <w:color w:val="000000"/>
          <w:sz w:val="28"/>
          <w:szCs w:val="28"/>
        </w:rPr>
        <w:t>Чернігівської міської ради № 13/</w:t>
      </w:r>
      <w:r>
        <w:rPr>
          <w:color w:val="000000"/>
          <w:sz w:val="28"/>
          <w:szCs w:val="28"/>
          <w:lang w:val="en-US"/>
        </w:rPr>
        <w:t>VII</w:t>
      </w:r>
      <w:r>
        <w:rPr>
          <w:color w:val="000000"/>
          <w:sz w:val="28"/>
          <w:szCs w:val="28"/>
        </w:rPr>
        <w:t xml:space="preserve">-11 від 30 листопада 2016 року було створене комунальне підприємство «Муніципальна поліція» Чернігівської міської ради. </w:t>
      </w:r>
    </w:p>
    <w:p w:rsidR="00595FD9" w:rsidRDefault="003212C1">
      <w:pPr>
        <w:pStyle w:val="aa"/>
        <w:numPr>
          <w:ilvl w:val="0"/>
          <w:numId w:val="1"/>
        </w:numPr>
        <w:tabs>
          <w:tab w:val="left" w:pos="1134"/>
        </w:tabs>
        <w:spacing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метою забезпечення контролю за станом благоустрою у місті згідно з Правилами благоустрою, забезпеч</w:t>
      </w:r>
      <w:r>
        <w:rPr>
          <w:color w:val="000000"/>
          <w:sz w:val="28"/>
          <w:szCs w:val="28"/>
        </w:rPr>
        <w:t xml:space="preserve">ення чистоти, порядку утримання і прибирання вуличних, дворових територій, парків, скверів та додержання тиші в громадських місцях м. Чернігова, затвердженими рішенням Чернігівської міської ради від 29.07. 2011 року, на розгляд </w:t>
      </w:r>
      <w:r>
        <w:rPr>
          <w:color w:val="000000"/>
          <w:sz w:val="28"/>
          <w:szCs w:val="28"/>
        </w:rPr>
        <w:t>міської</w:t>
      </w:r>
      <w:r>
        <w:rPr>
          <w:color w:val="000000"/>
          <w:sz w:val="28"/>
          <w:szCs w:val="28"/>
        </w:rPr>
        <w:t xml:space="preserve"> ради пропонується проект рішення про затвердж</w:t>
      </w:r>
      <w:r>
        <w:rPr>
          <w:color w:val="000000"/>
          <w:sz w:val="28"/>
          <w:szCs w:val="28"/>
        </w:rPr>
        <w:t>ення Програми забезпечення діяльності комунального підприємства «Муніципальна поліція» Чернігівської міської ради на 2017 рік».</w:t>
      </w:r>
    </w:p>
    <w:p w:rsidR="00595FD9" w:rsidRDefault="003212C1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  <w:lang w:val="uk-UA"/>
        </w:rPr>
        <w:t xml:space="preserve">          Орієнтовна структура витрат на утримання КП «Муніципальна поліція» ЧМР в р</w:t>
      </w:r>
      <w:r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  <w:lang w:val="uk-UA"/>
        </w:rPr>
        <w:t>амках виконання Програми забезпечення діяльності КП «Муніципальна поліція» ЧМР на 2017 рік (не враховуючи розмір Статутного кап</w:t>
      </w:r>
      <w:bookmarkStart w:id="0" w:name="_GoBack"/>
      <w:bookmarkEnd w:id="0"/>
      <w:r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  <w:lang w:val="uk-UA"/>
        </w:rPr>
        <w:t>італу):</w:t>
      </w:r>
    </w:p>
    <w:p w:rsidR="00595FD9" w:rsidRPr="003212C1" w:rsidRDefault="003212C1">
      <w:pPr>
        <w:tabs>
          <w:tab w:val="left" w:pos="6690"/>
        </w:tabs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  <w:lang w:val="uk-UA"/>
        </w:rPr>
        <w:tab/>
      </w:r>
    </w:p>
    <w:p w:rsidR="00595FD9" w:rsidRDefault="003212C1">
      <w:pPr>
        <w:tabs>
          <w:tab w:val="left" w:pos="6690"/>
        </w:tabs>
        <w:spacing w:after="0" w:line="240" w:lineRule="auto"/>
        <w:jc w:val="right"/>
      </w:pPr>
      <w:r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  <w:lang w:val="uk-UA"/>
        </w:rPr>
        <w:t>тис. грн.</w:t>
      </w:r>
    </w:p>
    <w:tbl>
      <w:tblPr>
        <w:tblW w:w="9781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92"/>
        <w:gridCol w:w="2189"/>
      </w:tblGrid>
      <w:tr w:rsidR="00595FD9">
        <w:tc>
          <w:tcPr>
            <w:tcW w:w="7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95FD9" w:rsidRDefault="003212C1">
            <w:pPr>
              <w:tabs>
                <w:tab w:val="left" w:pos="6690"/>
              </w:tabs>
              <w:spacing w:after="0" w:line="240" w:lineRule="auto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 w:cs="Times New Roman"/>
                <w:b/>
                <w:bCs/>
                <w:color w:val="1D1B11"/>
                <w:sz w:val="28"/>
                <w:szCs w:val="28"/>
                <w:shd w:val="clear" w:color="auto" w:fill="FFFFFF"/>
                <w:lang w:val="uk-UA"/>
              </w:rPr>
              <w:t xml:space="preserve">Оплата праці з нарахуваннями, </w:t>
            </w:r>
            <w:r>
              <w:rPr>
                <w:rFonts w:ascii="Nimbus Roman No9 L" w:hAnsi="Nimbus Roman No9 L" w:cs="Times New Roman"/>
                <w:color w:val="1D1B11"/>
                <w:sz w:val="28"/>
                <w:szCs w:val="28"/>
                <w:shd w:val="clear" w:color="auto" w:fill="FFFFFF"/>
                <w:lang w:val="uk-UA"/>
              </w:rPr>
              <w:t>у т. ч.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95FD9" w:rsidRDefault="003212C1">
            <w:pPr>
              <w:tabs>
                <w:tab w:val="left" w:pos="6690"/>
              </w:tabs>
              <w:spacing w:after="0" w:line="240" w:lineRule="auto"/>
              <w:jc w:val="right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 w:cs="Times New Roman"/>
                <w:b/>
                <w:bCs/>
                <w:color w:val="1D1B11"/>
                <w:sz w:val="28"/>
                <w:szCs w:val="28"/>
                <w:shd w:val="clear" w:color="auto" w:fill="FFFFFF"/>
                <w:lang w:val="uk-UA"/>
              </w:rPr>
              <w:t>2 178,3</w:t>
            </w:r>
          </w:p>
        </w:tc>
      </w:tr>
      <w:tr w:rsidR="00595FD9">
        <w:tc>
          <w:tcPr>
            <w:tcW w:w="7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95FD9" w:rsidRDefault="003212C1">
            <w:pPr>
              <w:tabs>
                <w:tab w:val="left" w:pos="6690"/>
              </w:tabs>
              <w:spacing w:after="0" w:line="240" w:lineRule="auto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 w:cs="Times New Roman"/>
                <w:color w:val="1D1B11"/>
                <w:sz w:val="28"/>
                <w:szCs w:val="28"/>
                <w:shd w:val="clear" w:color="auto" w:fill="FFFFFF"/>
                <w:lang w:val="uk-UA"/>
              </w:rPr>
              <w:t>Заробітна плата</w:t>
            </w:r>
          </w:p>
        </w:tc>
        <w:tc>
          <w:tcPr>
            <w:tcW w:w="2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95FD9" w:rsidRDefault="003212C1">
            <w:pPr>
              <w:tabs>
                <w:tab w:val="left" w:pos="6690"/>
              </w:tabs>
              <w:spacing w:after="0" w:line="240" w:lineRule="auto"/>
              <w:jc w:val="right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 w:cs="Times New Roman"/>
                <w:color w:val="1D1B11"/>
                <w:sz w:val="28"/>
                <w:szCs w:val="28"/>
                <w:shd w:val="clear" w:color="auto" w:fill="FFFFFF"/>
                <w:lang w:val="uk-UA"/>
              </w:rPr>
              <w:t>1 785,5</w:t>
            </w:r>
          </w:p>
        </w:tc>
      </w:tr>
      <w:tr w:rsidR="00595FD9">
        <w:tc>
          <w:tcPr>
            <w:tcW w:w="7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95FD9" w:rsidRDefault="003212C1">
            <w:pPr>
              <w:tabs>
                <w:tab w:val="left" w:pos="6690"/>
              </w:tabs>
              <w:spacing w:after="0" w:line="240" w:lineRule="auto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 w:cs="Times New Roman"/>
                <w:color w:val="1D1B11"/>
                <w:sz w:val="28"/>
                <w:szCs w:val="28"/>
                <w:shd w:val="clear" w:color="auto" w:fill="FFFFFF"/>
                <w:lang w:val="uk-UA"/>
              </w:rPr>
              <w:t>Нарахування на оплату праці</w:t>
            </w:r>
          </w:p>
        </w:tc>
        <w:tc>
          <w:tcPr>
            <w:tcW w:w="2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95FD9" w:rsidRDefault="003212C1">
            <w:pPr>
              <w:tabs>
                <w:tab w:val="left" w:pos="6690"/>
              </w:tabs>
              <w:spacing w:after="0" w:line="240" w:lineRule="auto"/>
              <w:jc w:val="right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 w:cs="Times New Roman"/>
                <w:color w:val="1D1B11"/>
                <w:sz w:val="28"/>
                <w:szCs w:val="28"/>
                <w:shd w:val="clear" w:color="auto" w:fill="FFFFFF"/>
                <w:lang w:val="uk-UA"/>
              </w:rPr>
              <w:t>392,8</w:t>
            </w:r>
          </w:p>
        </w:tc>
      </w:tr>
      <w:tr w:rsidR="00595FD9">
        <w:tc>
          <w:tcPr>
            <w:tcW w:w="7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95FD9" w:rsidRDefault="003212C1">
            <w:pPr>
              <w:tabs>
                <w:tab w:val="left" w:pos="6690"/>
              </w:tabs>
              <w:spacing w:after="0" w:line="240" w:lineRule="auto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 w:cs="Times New Roman"/>
                <w:color w:val="1D1B11"/>
                <w:sz w:val="28"/>
                <w:szCs w:val="28"/>
                <w:shd w:val="clear" w:color="auto" w:fill="FFFFFF"/>
                <w:lang w:val="uk-UA"/>
              </w:rPr>
              <w:t>Комунальні платежі:</w:t>
            </w:r>
          </w:p>
          <w:p w:rsidR="00595FD9" w:rsidRDefault="003212C1">
            <w:pPr>
              <w:tabs>
                <w:tab w:val="left" w:pos="6690"/>
              </w:tabs>
              <w:spacing w:after="0" w:line="240" w:lineRule="auto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 w:cs="Times New Roman"/>
                <w:color w:val="1D1B11"/>
                <w:sz w:val="28"/>
                <w:szCs w:val="28"/>
                <w:shd w:val="clear" w:color="auto" w:fill="FFFFFF"/>
                <w:lang w:val="uk-UA"/>
              </w:rPr>
              <w:t>оплата теплопостачання, оплата водопостачання та водовідведення, оплата електроенергії</w:t>
            </w:r>
          </w:p>
        </w:tc>
        <w:tc>
          <w:tcPr>
            <w:tcW w:w="2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95FD9" w:rsidRDefault="003212C1">
            <w:pPr>
              <w:pStyle w:val="ab"/>
              <w:jc w:val="right"/>
              <w:rPr>
                <w:rFonts w:ascii="Nimbus Roman No9 L" w:hAnsi="Nimbus Roman No9 L"/>
                <w:b/>
                <w:bCs/>
                <w:sz w:val="28"/>
                <w:szCs w:val="28"/>
              </w:rPr>
            </w:pPr>
            <w:r>
              <w:rPr>
                <w:rFonts w:ascii="Nimbus Roman No9 L" w:hAnsi="Nimbus Roman No9 L"/>
                <w:b/>
                <w:bCs/>
                <w:sz w:val="28"/>
                <w:szCs w:val="28"/>
              </w:rPr>
              <w:t>154,3</w:t>
            </w:r>
          </w:p>
        </w:tc>
      </w:tr>
      <w:tr w:rsidR="00595FD9">
        <w:tc>
          <w:tcPr>
            <w:tcW w:w="7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95FD9" w:rsidRDefault="003212C1">
            <w:pPr>
              <w:pStyle w:val="ab"/>
              <w:rPr>
                <w:rFonts w:ascii="Nimbus Roman No9 L" w:hAnsi="Nimbus Roman No9 L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Nimbus Roman No9 L" w:hAnsi="Nimbus Roman No9 L"/>
                <w:sz w:val="28"/>
                <w:szCs w:val="28"/>
              </w:rPr>
              <w:t>Інші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витрати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пальне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канцтовари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господарські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витрати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, оплата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ліцензій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страхування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обслуговування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автотранспорту,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послуги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звязку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тощо</w:t>
            </w:r>
            <w:proofErr w:type="spellEnd"/>
            <w:proofErr w:type="gramEnd"/>
          </w:p>
        </w:tc>
        <w:tc>
          <w:tcPr>
            <w:tcW w:w="2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95FD9" w:rsidRDefault="003212C1">
            <w:pPr>
              <w:pStyle w:val="ab"/>
              <w:jc w:val="right"/>
              <w:rPr>
                <w:rFonts w:ascii="Nimbus Roman No9 L" w:hAnsi="Nimbus Roman No9 L"/>
                <w:b/>
                <w:bCs/>
                <w:sz w:val="28"/>
                <w:szCs w:val="28"/>
              </w:rPr>
            </w:pPr>
            <w:r>
              <w:rPr>
                <w:rFonts w:ascii="Nimbus Roman No9 L" w:hAnsi="Nimbus Roman No9 L"/>
                <w:b/>
                <w:bCs/>
                <w:sz w:val="28"/>
                <w:szCs w:val="28"/>
              </w:rPr>
              <w:t>288,9</w:t>
            </w:r>
          </w:p>
        </w:tc>
      </w:tr>
      <w:tr w:rsidR="00595FD9">
        <w:tc>
          <w:tcPr>
            <w:tcW w:w="7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95FD9" w:rsidRDefault="003212C1">
            <w:pPr>
              <w:pStyle w:val="ab"/>
              <w:jc w:val="right"/>
              <w:rPr>
                <w:rFonts w:ascii="Nimbus Roman No9 L" w:hAnsi="Nimbus Roman No9 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Nimbus Roman No9 L" w:hAnsi="Nimbus Roman No9 L"/>
                <w:b/>
                <w:bCs/>
                <w:sz w:val="28"/>
                <w:szCs w:val="28"/>
              </w:rPr>
              <w:t>Всього</w:t>
            </w:r>
            <w:proofErr w:type="spellEnd"/>
            <w:r>
              <w:rPr>
                <w:rFonts w:ascii="Nimbus Roman No9 L" w:hAnsi="Nimbus Roman No9 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95FD9" w:rsidRDefault="003212C1">
            <w:pPr>
              <w:pStyle w:val="ab"/>
              <w:jc w:val="right"/>
              <w:rPr>
                <w:rFonts w:ascii="Nimbus Roman No9 L" w:hAnsi="Nimbus Roman No9 L"/>
                <w:b/>
                <w:bCs/>
                <w:sz w:val="28"/>
                <w:szCs w:val="28"/>
              </w:rPr>
            </w:pPr>
            <w:r>
              <w:rPr>
                <w:rFonts w:ascii="Nimbus Roman No9 L" w:hAnsi="Nimbus Roman No9 L"/>
                <w:b/>
                <w:bCs/>
                <w:sz w:val="28"/>
                <w:szCs w:val="28"/>
              </w:rPr>
              <w:t>2 621,5</w:t>
            </w:r>
          </w:p>
        </w:tc>
      </w:tr>
    </w:tbl>
    <w:p w:rsidR="00595FD9" w:rsidRDefault="00595FD9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1D1B11"/>
          <w:sz w:val="28"/>
          <w:szCs w:val="28"/>
          <w:highlight w:val="white"/>
          <w:lang w:val="uk-UA"/>
        </w:rPr>
      </w:pPr>
    </w:p>
    <w:p w:rsidR="00595FD9" w:rsidRDefault="00595FD9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95FD9" w:rsidRDefault="00595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95FD9" w:rsidRDefault="0032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 КП</w:t>
      </w:r>
    </w:p>
    <w:p w:rsidR="00595FD9" w:rsidRDefault="0032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«Муніципальна поліція»</w:t>
      </w:r>
    </w:p>
    <w:p w:rsidR="00595FD9" w:rsidRDefault="0032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Чернігівської міської ради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В.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Хрустицький</w:t>
      </w:r>
      <w:proofErr w:type="spellEnd"/>
    </w:p>
    <w:p w:rsidR="00595FD9" w:rsidRDefault="00595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95FD9" w:rsidRPr="003212C1" w:rsidRDefault="00595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lang w:val="uk-UA"/>
        </w:rPr>
      </w:pPr>
    </w:p>
    <w:sectPr w:rsidR="00595FD9" w:rsidRPr="003212C1">
      <w:pgSz w:w="11906" w:h="16838"/>
      <w:pgMar w:top="851" w:right="707" w:bottom="284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Nimbus Roman No9 L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35B81"/>
    <w:multiLevelType w:val="multilevel"/>
    <w:tmpl w:val="788AA48E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>
    <w:nsid w:val="471246AB"/>
    <w:multiLevelType w:val="multilevel"/>
    <w:tmpl w:val="B6C8C0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FD9"/>
    <w:rsid w:val="003212C1"/>
    <w:rsid w:val="0059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E7"/>
    <w:pPr>
      <w:spacing w:after="200" w:line="276" w:lineRule="auto"/>
    </w:pPr>
    <w:rPr>
      <w:rFonts w:cs="Calibri"/>
      <w:color w:val="00000A"/>
      <w:sz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871D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F871DE"/>
    <w:rPr>
      <w:rFonts w:ascii="Times New Roman" w:hAnsi="Times New Roman" w:cs="Times New Roman"/>
      <w:sz w:val="28"/>
      <w:szCs w:val="28"/>
      <w:lang w:val="uk-UA"/>
    </w:rPr>
  </w:style>
  <w:style w:type="character" w:customStyle="1" w:styleId="apple-converted-space">
    <w:name w:val="apple-converted-space"/>
    <w:basedOn w:val="a0"/>
    <w:uiPriority w:val="99"/>
    <w:qFormat/>
    <w:rsid w:val="005800B0"/>
  </w:style>
  <w:style w:type="character" w:customStyle="1" w:styleId="ListLabel1">
    <w:name w:val="ListLabel 1"/>
    <w:qFormat/>
    <w:rPr>
      <w:rFonts w:eastAsia="Times New Roman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Times New Roman"/>
      <w:sz w:val="28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customStyle="1" w:styleId="FR1">
    <w:name w:val="FR1"/>
    <w:uiPriority w:val="99"/>
    <w:qFormat/>
    <w:rsid w:val="00F871DE"/>
    <w:pPr>
      <w:widowControl w:val="0"/>
      <w:spacing w:before="320"/>
      <w:jc w:val="right"/>
    </w:pPr>
    <w:rPr>
      <w:rFonts w:ascii="Times New Roman" w:eastAsia="Times New Roman" w:hAnsi="Times New Roman"/>
      <w:b/>
      <w:bCs/>
      <w:color w:val="00000A"/>
      <w:sz w:val="24"/>
      <w:szCs w:val="24"/>
      <w:lang w:val="uk-UA"/>
    </w:rPr>
  </w:style>
  <w:style w:type="paragraph" w:styleId="a8">
    <w:name w:val="List Paragraph"/>
    <w:basedOn w:val="a"/>
    <w:uiPriority w:val="99"/>
    <w:qFormat/>
    <w:rsid w:val="005D59E4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99"/>
    <w:qFormat/>
    <w:rsid w:val="00D16931"/>
    <w:rPr>
      <w:rFonts w:cs="Calibri"/>
      <w:color w:val="00000A"/>
      <w:sz w:val="22"/>
      <w:lang w:eastAsia="en-US"/>
    </w:rPr>
  </w:style>
  <w:style w:type="paragraph" w:styleId="aa">
    <w:name w:val="Normal (Web)"/>
    <w:basedOn w:val="a"/>
    <w:uiPriority w:val="99"/>
    <w:semiHidden/>
    <w:qFormat/>
    <w:rsid w:val="005800B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Содержимое таблицы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1370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朱熠锷</dc:creator>
  <dc:description/>
  <cp:lastModifiedBy>Валерій М. Дука</cp:lastModifiedBy>
  <cp:revision>8</cp:revision>
  <cp:lastPrinted>2016-11-07T14:49:00Z</cp:lastPrinted>
  <dcterms:created xsi:type="dcterms:W3CDTF">2017-01-12T11:39:00Z</dcterms:created>
  <dcterms:modified xsi:type="dcterms:W3CDTF">2017-01-13T11:48:00Z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