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bookmarkStart w:id="0" w:name="_GoBack"/>
      <w:bookmarkEnd w:id="0"/>
      <w:r>
        <w:rPr>
          <w:b/>
          <w:snapToGrid w:val="0"/>
          <w:color w:val="000000"/>
          <w:sz w:val="28"/>
          <w:szCs w:val="28"/>
        </w:rPr>
        <w:t xml:space="preserve">А Н А Л І З </w:t>
      </w:r>
    </w:p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регуляторного впливу</w:t>
      </w:r>
    </w:p>
    <w:p w:rsidR="00644F9C" w:rsidRDefault="00080DA3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про</w:t>
      </w:r>
      <w:r>
        <w:rPr>
          <w:b/>
          <w:snapToGrid w:val="0"/>
          <w:color w:val="000000"/>
          <w:sz w:val="28"/>
          <w:szCs w:val="28"/>
          <w:lang w:val="uk-UA"/>
        </w:rPr>
        <w:t>є</w:t>
      </w:r>
      <w:r w:rsidR="00644F9C">
        <w:rPr>
          <w:b/>
          <w:snapToGrid w:val="0"/>
          <w:color w:val="000000"/>
          <w:sz w:val="28"/>
          <w:szCs w:val="28"/>
        </w:rPr>
        <w:t>кту рішення виконавчого комітету</w:t>
      </w:r>
    </w:p>
    <w:p w:rsidR="00644F9C" w:rsidRDefault="00644F9C" w:rsidP="00644F9C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Чернігівської міської ради </w:t>
      </w:r>
    </w:p>
    <w:p w:rsidR="004A16EF" w:rsidRDefault="00644F9C" w:rsidP="00644F9C">
      <w:pPr>
        <w:widowControl w:val="0"/>
        <w:jc w:val="center"/>
        <w:rPr>
          <w:b/>
          <w:sz w:val="28"/>
          <w:szCs w:val="28"/>
          <w:lang w:val="uk-UA"/>
        </w:rPr>
      </w:pPr>
      <w:r w:rsidRPr="004A16EF">
        <w:rPr>
          <w:rStyle w:val="FontStyle13"/>
          <w:b/>
          <w:sz w:val="28"/>
          <w:szCs w:val="28"/>
          <w:lang w:eastAsia="uk-UA"/>
        </w:rPr>
        <w:t>«</w:t>
      </w:r>
      <w:r w:rsidR="004A16EF" w:rsidRPr="004A16EF">
        <w:rPr>
          <w:b/>
          <w:sz w:val="28"/>
          <w:szCs w:val="28"/>
        </w:rPr>
        <w:t xml:space="preserve">Про вартість проїзду </w:t>
      </w:r>
      <w:r w:rsidR="00B14D8B">
        <w:rPr>
          <w:b/>
          <w:sz w:val="28"/>
          <w:szCs w:val="28"/>
          <w:lang w:val="uk-UA"/>
        </w:rPr>
        <w:t>у</w:t>
      </w:r>
      <w:r w:rsidR="004A16EF" w:rsidRPr="004A16EF">
        <w:rPr>
          <w:b/>
          <w:sz w:val="28"/>
          <w:szCs w:val="28"/>
        </w:rPr>
        <w:t xml:space="preserve"> міському пасажирському </w:t>
      </w:r>
    </w:p>
    <w:p w:rsidR="00644F9C" w:rsidRPr="004A16EF" w:rsidRDefault="004A16EF" w:rsidP="00644F9C">
      <w:pPr>
        <w:widowControl w:val="0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4A16EF">
        <w:rPr>
          <w:b/>
          <w:sz w:val="28"/>
          <w:szCs w:val="28"/>
          <w:lang w:val="uk-UA"/>
        </w:rPr>
        <w:t>автомобільному транспорті</w:t>
      </w:r>
      <w:r w:rsidR="00644F9C" w:rsidRPr="004A16EF">
        <w:rPr>
          <w:rStyle w:val="FontStyle13"/>
          <w:b/>
          <w:sz w:val="28"/>
          <w:szCs w:val="28"/>
          <w:lang w:val="uk-UA" w:eastAsia="uk-UA"/>
        </w:rPr>
        <w:t>»</w:t>
      </w:r>
    </w:p>
    <w:p w:rsidR="00644F9C" w:rsidRPr="004A16EF" w:rsidRDefault="00644F9C" w:rsidP="00644F9C">
      <w:pPr>
        <w:ind w:firstLine="851"/>
        <w:jc w:val="both"/>
        <w:rPr>
          <w:snapToGrid w:val="0"/>
          <w:sz w:val="28"/>
          <w:szCs w:val="28"/>
          <w:lang w:val="uk-UA"/>
        </w:rPr>
      </w:pPr>
    </w:p>
    <w:p w:rsidR="00644F9C" w:rsidRPr="004A16EF" w:rsidRDefault="00644F9C" w:rsidP="00644F9C">
      <w:pPr>
        <w:ind w:firstLine="851"/>
        <w:jc w:val="both"/>
        <w:rPr>
          <w:snapToGrid w:val="0"/>
          <w:sz w:val="28"/>
          <w:szCs w:val="28"/>
          <w:lang w:val="uk-UA"/>
        </w:rPr>
      </w:pPr>
      <w:r w:rsidRPr="004A16EF">
        <w:rPr>
          <w:snapToGrid w:val="0"/>
          <w:sz w:val="28"/>
          <w:szCs w:val="28"/>
          <w:lang w:val="uk-UA"/>
        </w:rPr>
        <w:t xml:space="preserve">Цей </w:t>
      </w:r>
      <w:r w:rsidR="0045444C">
        <w:rPr>
          <w:snapToGrid w:val="0"/>
          <w:sz w:val="28"/>
          <w:szCs w:val="28"/>
          <w:lang w:val="uk-UA"/>
        </w:rPr>
        <w:t>аналіз регуляторного впливу проє</w:t>
      </w:r>
      <w:r w:rsidRPr="004A16EF">
        <w:rPr>
          <w:snapToGrid w:val="0"/>
          <w:sz w:val="28"/>
          <w:szCs w:val="28"/>
          <w:lang w:val="uk-UA"/>
        </w:rPr>
        <w:t>кту рішення виконавчого комітету Чернігівської міської ради «</w:t>
      </w:r>
      <w:r w:rsidR="004A16EF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4A16EF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 w:rsidRPr="004A16EF">
        <w:rPr>
          <w:rStyle w:val="FontStyle13"/>
          <w:sz w:val="28"/>
          <w:szCs w:val="28"/>
          <w:lang w:val="uk-UA" w:eastAsia="uk-UA"/>
        </w:rPr>
        <w:t>»</w:t>
      </w:r>
      <w:r w:rsidRPr="004A16EF">
        <w:rPr>
          <w:snapToGrid w:val="0"/>
          <w:sz w:val="28"/>
          <w:szCs w:val="28"/>
          <w:lang w:val="uk-UA"/>
        </w:rPr>
        <w:t xml:space="preserve">, розроблений на виконання та з дотриманням вимог </w:t>
      </w:r>
      <w:r w:rsidR="0045444C">
        <w:rPr>
          <w:snapToGrid w:val="0"/>
          <w:sz w:val="28"/>
          <w:szCs w:val="28"/>
          <w:lang w:val="uk-UA"/>
        </w:rPr>
        <w:t xml:space="preserve">ст. 8 </w:t>
      </w:r>
      <w:r w:rsidRPr="004A16EF">
        <w:rPr>
          <w:sz w:val="28"/>
          <w:szCs w:val="28"/>
          <w:lang w:val="uk-UA"/>
        </w:rPr>
        <w:t xml:space="preserve">Закону України </w:t>
      </w:r>
      <w:r w:rsidRPr="004A16EF">
        <w:rPr>
          <w:snapToGrid w:val="0"/>
          <w:sz w:val="28"/>
          <w:szCs w:val="28"/>
          <w:lang w:val="uk-UA"/>
        </w:rPr>
        <w:t>«Про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діяльності» та Методики проведення аналізу впливу регуляторного 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r w:rsidRPr="004A16EF">
        <w:rPr>
          <w:snapToGrid w:val="0"/>
          <w:color w:val="000000"/>
          <w:sz w:val="28"/>
          <w:szCs w:val="28"/>
          <w:lang w:val="uk-UA"/>
        </w:rPr>
        <w:t>, затвердженої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r w:rsidRPr="004A16EF">
        <w:rPr>
          <w:snapToGrid w:val="0"/>
          <w:color w:val="000000"/>
          <w:sz w:val="28"/>
          <w:szCs w:val="28"/>
          <w:lang w:val="uk-UA"/>
        </w:rPr>
        <w:t>» (</w:t>
      </w:r>
      <w:r w:rsidRPr="004A16EF">
        <w:rPr>
          <w:snapToGrid w:val="0"/>
          <w:sz w:val="28"/>
          <w:szCs w:val="28"/>
          <w:lang w:val="uk-UA"/>
        </w:rPr>
        <w:t>зі змінами).</w:t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Назва регуляторного акт</w:t>
      </w:r>
      <w:r w:rsidR="00026192">
        <w:rPr>
          <w:snapToGrid w:val="0"/>
          <w:color w:val="000000"/>
          <w:sz w:val="28"/>
          <w:szCs w:val="28"/>
          <w:u w:val="single"/>
          <w:lang w:val="uk-UA"/>
        </w:rPr>
        <w:t>а</w:t>
      </w:r>
      <w:r>
        <w:rPr>
          <w:snapToGrid w:val="0"/>
          <w:color w:val="000000"/>
          <w:sz w:val="28"/>
          <w:szCs w:val="28"/>
          <w:u w:val="single"/>
        </w:rPr>
        <w:t>:</w:t>
      </w:r>
      <w:r w:rsidR="00080DA3">
        <w:rPr>
          <w:snapToGrid w:val="0"/>
          <w:color w:val="000000"/>
          <w:sz w:val="28"/>
          <w:szCs w:val="28"/>
        </w:rPr>
        <w:t xml:space="preserve"> проє</w:t>
      </w:r>
      <w:r>
        <w:rPr>
          <w:snapToGrid w:val="0"/>
          <w:color w:val="000000"/>
          <w:sz w:val="28"/>
          <w:szCs w:val="28"/>
        </w:rPr>
        <w:t xml:space="preserve">кт рішення виконавчого комітету Чернігівської міської ради </w:t>
      </w:r>
      <w:r>
        <w:rPr>
          <w:bCs/>
          <w:snapToGrid w:val="0"/>
          <w:color w:val="000000"/>
          <w:sz w:val="28"/>
          <w:szCs w:val="28"/>
        </w:rPr>
        <w:t>«</w:t>
      </w:r>
      <w:r w:rsidR="004A16EF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4A16EF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>
        <w:rPr>
          <w:rStyle w:val="FontStyle13"/>
          <w:sz w:val="28"/>
          <w:szCs w:val="28"/>
          <w:lang w:eastAsia="uk-UA"/>
        </w:rPr>
        <w:t>».</w:t>
      </w:r>
      <w:r>
        <w:rPr>
          <w:snapToGrid w:val="0"/>
          <w:color w:val="000000"/>
          <w:sz w:val="28"/>
          <w:szCs w:val="28"/>
        </w:rPr>
        <w:tab/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Регуляторний орган:</w:t>
      </w:r>
      <w:r>
        <w:rPr>
          <w:snapToGrid w:val="0"/>
          <w:color w:val="000000"/>
          <w:sz w:val="28"/>
          <w:szCs w:val="28"/>
        </w:rPr>
        <w:t xml:space="preserve"> виконавчий комітет Чернігівської міської ради.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>Розробники документа:</w:t>
      </w:r>
      <w:r>
        <w:rPr>
          <w:snapToGrid w:val="0"/>
          <w:color w:val="000000"/>
          <w:sz w:val="28"/>
          <w:szCs w:val="28"/>
        </w:rPr>
        <w:t xml:space="preserve"> управління транспорту</w:t>
      </w:r>
      <w:r>
        <w:rPr>
          <w:snapToGrid w:val="0"/>
          <w:color w:val="000000"/>
          <w:sz w:val="28"/>
          <w:szCs w:val="28"/>
          <w:lang w:val="uk-UA"/>
        </w:rPr>
        <w:t>, транспортної інфраструктури</w:t>
      </w:r>
      <w:r>
        <w:rPr>
          <w:snapToGrid w:val="0"/>
          <w:color w:val="000000"/>
          <w:sz w:val="28"/>
          <w:szCs w:val="28"/>
        </w:rPr>
        <w:t xml:space="preserve"> та зв’язку Чернігівської міської ради.</w:t>
      </w:r>
    </w:p>
    <w:p w:rsidR="00644F9C" w:rsidRPr="00E26D03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>Відповідальна особа: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Рижий О. М.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  <w:u w:val="single"/>
        </w:rPr>
        <w:t>Контактний телефон:</w:t>
      </w:r>
      <w:r>
        <w:rPr>
          <w:snapToGrid w:val="0"/>
          <w:color w:val="000000"/>
          <w:sz w:val="28"/>
          <w:szCs w:val="28"/>
        </w:rPr>
        <w:t xml:space="preserve"> 671-887.</w:t>
      </w:r>
    </w:p>
    <w:p w:rsidR="00085587" w:rsidRDefault="00085587" w:rsidP="0008558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Електронна адреса:</w:t>
      </w:r>
      <w:r w:rsidRPr="00490CD0">
        <w:rPr>
          <w:snapToGrid w:val="0"/>
          <w:color w:val="000000"/>
          <w:sz w:val="28"/>
          <w:szCs w:val="28"/>
        </w:rPr>
        <w:t xml:space="preserve"> </w:t>
      </w:r>
      <w:r w:rsidRPr="00490CD0">
        <w:rPr>
          <w:snapToGrid w:val="0"/>
          <w:color w:val="000000"/>
          <w:sz w:val="28"/>
          <w:szCs w:val="28"/>
          <w:lang w:val="en-US"/>
        </w:rPr>
        <w:t>transport</w:t>
      </w:r>
      <w:r w:rsidRPr="00490CD0">
        <w:rPr>
          <w:snapToGrid w:val="0"/>
          <w:color w:val="000000"/>
          <w:sz w:val="28"/>
          <w:szCs w:val="28"/>
        </w:rPr>
        <w:t>@</w:t>
      </w:r>
      <w:r w:rsidRPr="00490CD0">
        <w:rPr>
          <w:snapToGrid w:val="0"/>
          <w:color w:val="000000"/>
          <w:sz w:val="28"/>
          <w:szCs w:val="28"/>
          <w:lang w:val="en-US"/>
        </w:rPr>
        <w:t>chernigiv</w:t>
      </w:r>
      <w:r w:rsidRPr="00490CD0">
        <w:rPr>
          <w:snapToGrid w:val="0"/>
          <w:color w:val="000000"/>
          <w:sz w:val="28"/>
          <w:szCs w:val="28"/>
        </w:rPr>
        <w:t>-</w:t>
      </w:r>
      <w:r w:rsidRPr="00490CD0">
        <w:rPr>
          <w:snapToGrid w:val="0"/>
          <w:color w:val="000000"/>
          <w:sz w:val="28"/>
          <w:szCs w:val="28"/>
          <w:lang w:val="en-US"/>
        </w:rPr>
        <w:t>rada</w:t>
      </w:r>
      <w:r w:rsidRPr="00490CD0">
        <w:rPr>
          <w:snapToGrid w:val="0"/>
          <w:color w:val="000000"/>
          <w:sz w:val="28"/>
          <w:szCs w:val="28"/>
        </w:rPr>
        <w:t>.</w:t>
      </w:r>
      <w:r w:rsidRPr="00490CD0">
        <w:rPr>
          <w:snapToGrid w:val="0"/>
          <w:color w:val="000000"/>
          <w:sz w:val="28"/>
          <w:szCs w:val="28"/>
          <w:lang w:val="en-US"/>
        </w:rPr>
        <w:t>gov</w:t>
      </w:r>
      <w:r w:rsidRPr="00490CD0">
        <w:rPr>
          <w:snapToGrid w:val="0"/>
          <w:color w:val="000000"/>
          <w:sz w:val="28"/>
          <w:szCs w:val="28"/>
        </w:rPr>
        <w:t>.</w:t>
      </w:r>
      <w:r w:rsidRPr="00490CD0">
        <w:rPr>
          <w:snapToGrid w:val="0"/>
          <w:color w:val="000000"/>
          <w:sz w:val="28"/>
          <w:szCs w:val="28"/>
          <w:lang w:val="en-US"/>
        </w:rPr>
        <w:t>ua</w:t>
      </w:r>
      <w:r w:rsidRPr="009D37B7"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rPr>
          <w:color w:val="000000"/>
          <w:sz w:val="28"/>
          <w:szCs w:val="28"/>
        </w:rPr>
      </w:pPr>
    </w:p>
    <w:p w:rsidR="00644F9C" w:rsidRDefault="00644F9C" w:rsidP="00644F9C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І. Визначення проблеми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4C6353" w:rsidRPr="004C6353" w:rsidRDefault="00644F9C" w:rsidP="004C63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 даний час в місті ді</w:t>
      </w:r>
      <w:r w:rsidR="0039753A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рішення виконавчого комітету міської ради від </w:t>
      </w:r>
      <w:r w:rsidR="00644D64">
        <w:rPr>
          <w:color w:val="000000"/>
          <w:sz w:val="28"/>
          <w:szCs w:val="28"/>
          <w:lang w:val="uk-UA"/>
        </w:rPr>
        <w:t xml:space="preserve"> 13 грудня 2018 року № 638 «Про вартість проїзду у міському пасажирському транспорті»</w:t>
      </w:r>
      <w:r w:rsidR="004C6353">
        <w:rPr>
          <w:sz w:val="28"/>
          <w:szCs w:val="28"/>
          <w:lang w:val="uk-UA"/>
        </w:rPr>
        <w:t>.</w:t>
      </w:r>
    </w:p>
    <w:p w:rsidR="004C6353" w:rsidRPr="00DF52D5" w:rsidRDefault="00644D64" w:rsidP="004C635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</w:t>
      </w:r>
      <w:r w:rsidR="004C6353" w:rsidRPr="00DF52D5">
        <w:rPr>
          <w:sz w:val="28"/>
          <w:szCs w:val="28"/>
          <w:lang w:val="uk-UA"/>
        </w:rPr>
        <w:t xml:space="preserve"> рішенням для всіх суб’єктів господарювання міста, незалежно від форм власності, підпорядкованості і методів організації праці та виробництва, які виконують перевезення пасажирів і багажу на міських маршрутах загального користування, встановл</w:t>
      </w:r>
      <w:r w:rsidR="007423A3">
        <w:rPr>
          <w:sz w:val="28"/>
          <w:szCs w:val="28"/>
          <w:lang w:val="uk-UA"/>
        </w:rPr>
        <w:t>ена</w:t>
      </w:r>
      <w:r w:rsidR="004C6353" w:rsidRPr="00DF52D5">
        <w:rPr>
          <w:sz w:val="28"/>
          <w:szCs w:val="28"/>
          <w:lang w:val="uk-UA"/>
        </w:rPr>
        <w:t xml:space="preserve"> вартість разового квитка:</w:t>
      </w:r>
      <w:r w:rsidR="004C6353">
        <w:rPr>
          <w:sz w:val="28"/>
          <w:szCs w:val="28"/>
        </w:rPr>
        <w:t> </w:t>
      </w:r>
    </w:p>
    <w:p w:rsidR="004C6353" w:rsidRPr="005D2882" w:rsidRDefault="004C6353" w:rsidP="004C6353">
      <w:pPr>
        <w:pStyle w:val="Style6"/>
        <w:widowControl/>
        <w:tabs>
          <w:tab w:val="left" w:pos="1104"/>
        </w:tabs>
        <w:spacing w:line="240" w:lineRule="auto"/>
        <w:rPr>
          <w:rStyle w:val="FontStyle13"/>
          <w:color w:val="auto"/>
          <w:sz w:val="28"/>
          <w:szCs w:val="28"/>
          <w:lang w:val="uk-UA" w:eastAsia="uk-UA"/>
        </w:rPr>
      </w:pPr>
      <w:r w:rsidRPr="005D2882">
        <w:rPr>
          <w:sz w:val="28"/>
          <w:szCs w:val="28"/>
        </w:rPr>
        <w:t>- на проїзд у автобусі</w:t>
      </w:r>
      <w:r w:rsidRPr="005D2882">
        <w:rPr>
          <w:sz w:val="28"/>
          <w:szCs w:val="28"/>
          <w:lang w:val="uk-UA"/>
        </w:rPr>
        <w:t xml:space="preserve"> для перевезення пасажирів в межах міста Чернігова </w:t>
      </w:r>
      <w:r w:rsidRPr="005D2882">
        <w:rPr>
          <w:rStyle w:val="FontStyle13"/>
          <w:color w:val="auto"/>
          <w:sz w:val="28"/>
          <w:szCs w:val="28"/>
          <w:lang w:val="uk-UA" w:eastAsia="uk-UA"/>
        </w:rPr>
        <w:t xml:space="preserve">– </w:t>
      </w:r>
      <w:r w:rsidR="00262254">
        <w:rPr>
          <w:rStyle w:val="FontStyle13"/>
          <w:color w:val="auto"/>
          <w:sz w:val="28"/>
          <w:szCs w:val="28"/>
          <w:lang w:val="uk-UA" w:eastAsia="uk-UA"/>
        </w:rPr>
        <w:t>6</w:t>
      </w:r>
      <w:r w:rsidRPr="005D2882">
        <w:rPr>
          <w:rStyle w:val="FontStyle13"/>
          <w:color w:val="auto"/>
          <w:sz w:val="28"/>
          <w:szCs w:val="28"/>
          <w:lang w:val="uk-UA" w:eastAsia="uk-UA"/>
        </w:rPr>
        <w:t>,</w:t>
      </w:r>
      <w:r>
        <w:rPr>
          <w:rStyle w:val="FontStyle13"/>
          <w:color w:val="auto"/>
          <w:sz w:val="28"/>
          <w:szCs w:val="28"/>
          <w:lang w:val="uk-UA" w:eastAsia="uk-UA"/>
        </w:rPr>
        <w:t>0</w:t>
      </w:r>
      <w:r w:rsidR="00253D8A">
        <w:rPr>
          <w:rStyle w:val="FontStyle13"/>
          <w:color w:val="auto"/>
          <w:sz w:val="28"/>
          <w:szCs w:val="28"/>
          <w:lang w:val="uk-UA" w:eastAsia="uk-UA"/>
        </w:rPr>
        <w:t>0</w:t>
      </w:r>
      <w:r w:rsidRPr="005D2882">
        <w:rPr>
          <w:rStyle w:val="FontStyle13"/>
          <w:color w:val="auto"/>
          <w:sz w:val="28"/>
          <w:szCs w:val="28"/>
          <w:lang w:val="uk-UA" w:eastAsia="uk-UA"/>
        </w:rPr>
        <w:t xml:space="preserve"> грн.</w:t>
      </w:r>
      <w:r>
        <w:rPr>
          <w:rStyle w:val="FontStyle13"/>
          <w:color w:val="auto"/>
          <w:sz w:val="28"/>
          <w:szCs w:val="28"/>
          <w:lang w:val="uk-UA" w:eastAsia="uk-UA"/>
        </w:rPr>
        <w:t>;</w:t>
      </w:r>
    </w:p>
    <w:p w:rsidR="004C6353" w:rsidRDefault="004C6353" w:rsidP="004C63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D2882">
        <w:rPr>
          <w:sz w:val="28"/>
          <w:szCs w:val="28"/>
        </w:rPr>
        <w:t xml:space="preserve">- на проїзд в автобусі на міських маршрутах загального користування для учнів загальноосвітніх навчальних закладів у місті Чернігові, при наявності учнівського квитка, на період з 1 вересня до </w:t>
      </w:r>
      <w:r w:rsidRPr="005D2882">
        <w:rPr>
          <w:sz w:val="28"/>
          <w:szCs w:val="28"/>
          <w:lang w:val="uk-UA"/>
        </w:rPr>
        <w:t>2</w:t>
      </w:r>
      <w:r w:rsidRPr="005D2882">
        <w:rPr>
          <w:sz w:val="28"/>
          <w:szCs w:val="28"/>
        </w:rPr>
        <w:t xml:space="preserve">1 </w:t>
      </w:r>
      <w:r w:rsidRPr="005D2882">
        <w:rPr>
          <w:sz w:val="28"/>
          <w:szCs w:val="28"/>
          <w:lang w:val="uk-UA"/>
        </w:rPr>
        <w:t>червня</w:t>
      </w:r>
      <w:r w:rsidRPr="005D2882">
        <w:rPr>
          <w:sz w:val="28"/>
          <w:szCs w:val="28"/>
        </w:rPr>
        <w:t xml:space="preserve"> включно – </w:t>
      </w:r>
      <w:r w:rsidR="00262254">
        <w:rPr>
          <w:sz w:val="28"/>
          <w:szCs w:val="28"/>
          <w:lang w:val="uk-UA"/>
        </w:rPr>
        <w:t>3</w:t>
      </w:r>
      <w:r w:rsidR="00253D8A">
        <w:rPr>
          <w:sz w:val="28"/>
          <w:szCs w:val="28"/>
          <w:lang w:val="uk-UA"/>
        </w:rPr>
        <w:t>,00</w:t>
      </w:r>
      <w:r w:rsidRPr="005D2882">
        <w:rPr>
          <w:sz w:val="28"/>
          <w:szCs w:val="28"/>
        </w:rPr>
        <w:t xml:space="preserve"> грн.</w:t>
      </w:r>
      <w:r w:rsidRPr="005D2882">
        <w:rPr>
          <w:sz w:val="28"/>
          <w:szCs w:val="28"/>
          <w:lang w:val="uk-UA"/>
        </w:rPr>
        <w:t>, без компенсації за такі перевезення.</w:t>
      </w:r>
    </w:p>
    <w:p w:rsidR="002A1393" w:rsidRDefault="002A1393" w:rsidP="002A1393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710571">
        <w:rPr>
          <w:sz w:val="28"/>
          <w:szCs w:val="28"/>
        </w:rPr>
        <w:t xml:space="preserve">Перевезення дітей до </w:t>
      </w:r>
      <w:r>
        <w:rPr>
          <w:sz w:val="28"/>
          <w:szCs w:val="28"/>
        </w:rPr>
        <w:t>6</w:t>
      </w:r>
      <w:r w:rsidRPr="00710571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710571">
        <w:rPr>
          <w:sz w:val="28"/>
          <w:szCs w:val="28"/>
        </w:rPr>
        <w:t>и років здійснюється</w:t>
      </w:r>
      <w:r>
        <w:rPr>
          <w:sz w:val="28"/>
          <w:szCs w:val="28"/>
        </w:rPr>
        <w:t xml:space="preserve"> </w:t>
      </w:r>
      <w:r w:rsidRPr="00710571">
        <w:rPr>
          <w:sz w:val="28"/>
          <w:szCs w:val="28"/>
        </w:rPr>
        <w:t>безкоштовно.</w:t>
      </w:r>
    </w:p>
    <w:p w:rsidR="00644F9C" w:rsidRDefault="00644F9C" w:rsidP="00644F9C">
      <w:pPr>
        <w:ind w:firstLine="709"/>
        <w:jc w:val="both"/>
        <w:rPr>
          <w:bCs/>
          <w:spacing w:val="4"/>
          <w:sz w:val="28"/>
          <w:szCs w:val="28"/>
        </w:rPr>
      </w:pPr>
      <w:r w:rsidRPr="00240911">
        <w:rPr>
          <w:sz w:val="28"/>
          <w:szCs w:val="28"/>
          <w:lang w:val="uk-UA"/>
        </w:rPr>
        <w:t xml:space="preserve">Економічна ситуація в країні призвела до підвищення </w:t>
      </w:r>
      <w:r w:rsidR="00262254">
        <w:rPr>
          <w:sz w:val="28"/>
          <w:szCs w:val="28"/>
          <w:lang w:val="uk-UA"/>
        </w:rPr>
        <w:t>вартості складових витрат на надання послуг з перевезення пасажирів</w:t>
      </w:r>
      <w:r w:rsidR="007A2D27">
        <w:rPr>
          <w:sz w:val="28"/>
          <w:szCs w:val="28"/>
          <w:lang w:val="uk-UA"/>
        </w:rPr>
        <w:t>,</w:t>
      </w:r>
      <w:r w:rsidR="00262254">
        <w:rPr>
          <w:sz w:val="28"/>
          <w:szCs w:val="28"/>
          <w:lang w:val="uk-UA"/>
        </w:rPr>
        <w:t xml:space="preserve"> у тому числі паливно-</w:t>
      </w:r>
      <w:r w:rsidR="007A2D27">
        <w:rPr>
          <w:sz w:val="28"/>
          <w:szCs w:val="28"/>
          <w:lang w:val="uk-UA"/>
        </w:rPr>
        <w:t>мастильних</w:t>
      </w:r>
      <w:r w:rsidR="00262254">
        <w:rPr>
          <w:sz w:val="28"/>
          <w:szCs w:val="28"/>
          <w:lang w:val="uk-UA"/>
        </w:rPr>
        <w:t xml:space="preserve"> матеріалі</w:t>
      </w:r>
      <w:r w:rsidR="007A2D27">
        <w:rPr>
          <w:sz w:val="28"/>
          <w:szCs w:val="28"/>
          <w:lang w:val="uk-UA"/>
        </w:rPr>
        <w:t>в</w:t>
      </w:r>
      <w:r w:rsidR="00262254">
        <w:rPr>
          <w:sz w:val="28"/>
          <w:szCs w:val="28"/>
          <w:lang w:val="uk-UA"/>
        </w:rPr>
        <w:t>, заробітн</w:t>
      </w:r>
      <w:r w:rsidR="007A2D27">
        <w:rPr>
          <w:sz w:val="28"/>
          <w:szCs w:val="28"/>
          <w:lang w:val="uk-UA"/>
        </w:rPr>
        <w:t>ої</w:t>
      </w:r>
      <w:r w:rsidR="000C1E18">
        <w:rPr>
          <w:sz w:val="28"/>
          <w:szCs w:val="28"/>
          <w:lang w:val="uk-UA"/>
        </w:rPr>
        <w:t xml:space="preserve"> плати</w:t>
      </w:r>
      <w:r w:rsidRPr="00240911">
        <w:rPr>
          <w:sz w:val="28"/>
          <w:szCs w:val="28"/>
          <w:lang w:val="uk-UA"/>
        </w:rPr>
        <w:t xml:space="preserve">. </w:t>
      </w:r>
      <w:r>
        <w:rPr>
          <w:bCs/>
          <w:spacing w:val="4"/>
          <w:sz w:val="28"/>
          <w:szCs w:val="28"/>
        </w:rPr>
        <w:t xml:space="preserve">У зв’язку зі збитковістю перевезень перевізники не можуть забезпечити належну якість технічного стану </w:t>
      </w:r>
      <w:r>
        <w:rPr>
          <w:bCs/>
          <w:spacing w:val="4"/>
          <w:sz w:val="28"/>
          <w:szCs w:val="28"/>
        </w:rPr>
        <w:lastRenderedPageBreak/>
        <w:t>автобусів, дотримання графіків руху на маршрутах та забезпечити безпеку руху, що в майбутньому може привести до аварійних ситуацій та дорожньо-транспортних пригод.</w:t>
      </w:r>
    </w:p>
    <w:p w:rsidR="00644F9C" w:rsidRDefault="00644F9C" w:rsidP="00644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Проблема, яку необхідно вирішити шляхом прийняття даного рішення, полягає у збалансуванні інтересів держави, органів місцевого самоврядування, користувачів транспортних послуг та підприємств, установ, організацій, інших юридичних та фізичних осіб-підприємців, всіх суб’єктів господарювання на автомобільному транспорті незалежно від форм власності.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Розмір чинного тарифу на перевезення пасажирів автобусами на міських маршрутах не покриває фактичні видатки перевізників, що зайняті у сфері пасажирських перевезень, та не дає можливості забезпечити регулярність руху автобусів на міських маршрутах, і забезпечувати відповідну якість надання послуг з перевезення пасажирів.</w:t>
      </w:r>
    </w:p>
    <w:p w:rsidR="00644F9C" w:rsidRDefault="00644F9C" w:rsidP="00644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Згідно з пунктом 1.6.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 перегляд рівня тарифів повинен здійснюватись у зв’язку зі зміною умов виробничої діяльності та реалізації послуг пасажирського автомобільного транспорту, що не залежать від господарської діяльності автомобільного перевізника, в тому числі в разі зміни вартості палива більш, ніж на 10 %.</w:t>
      </w:r>
    </w:p>
    <w:p w:rsidR="00644F9C" w:rsidRPr="00AA0914" w:rsidRDefault="00644F9C" w:rsidP="00644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14">
        <w:rPr>
          <w:sz w:val="28"/>
          <w:szCs w:val="28"/>
        </w:rPr>
        <w:t xml:space="preserve">За період дії рішення, що встановлює чинний тариф, </w:t>
      </w:r>
      <w:r w:rsidR="00934E64" w:rsidRPr="00AA0914">
        <w:rPr>
          <w:sz w:val="28"/>
          <w:szCs w:val="28"/>
          <w:lang w:val="uk-UA"/>
        </w:rPr>
        <w:t xml:space="preserve">суттєво </w:t>
      </w:r>
      <w:r w:rsidR="00934E64" w:rsidRPr="00AA0914">
        <w:rPr>
          <w:sz w:val="28"/>
          <w:szCs w:val="28"/>
        </w:rPr>
        <w:t>зросл</w:t>
      </w:r>
      <w:r w:rsidR="00644D64" w:rsidRPr="00AA0914">
        <w:rPr>
          <w:sz w:val="28"/>
          <w:szCs w:val="28"/>
        </w:rPr>
        <w:t>и</w:t>
      </w:r>
      <w:r w:rsidR="00644D64" w:rsidRPr="00AA0914">
        <w:rPr>
          <w:sz w:val="28"/>
          <w:szCs w:val="28"/>
          <w:lang w:val="uk-UA"/>
        </w:rPr>
        <w:t xml:space="preserve"> такі</w:t>
      </w:r>
      <w:r w:rsidR="00934E64" w:rsidRPr="00AA0914">
        <w:rPr>
          <w:sz w:val="28"/>
          <w:szCs w:val="28"/>
          <w:lang w:val="uk-UA"/>
        </w:rPr>
        <w:t xml:space="preserve"> </w:t>
      </w:r>
      <w:r w:rsidRPr="00AA0914">
        <w:rPr>
          <w:sz w:val="28"/>
          <w:szCs w:val="28"/>
        </w:rPr>
        <w:t xml:space="preserve"> складов</w:t>
      </w:r>
      <w:r w:rsidR="00644D64" w:rsidRPr="00AA0914">
        <w:rPr>
          <w:sz w:val="28"/>
          <w:szCs w:val="28"/>
          <w:lang w:val="uk-UA"/>
        </w:rPr>
        <w:t>і</w:t>
      </w:r>
      <w:r w:rsidRPr="00AA0914">
        <w:rPr>
          <w:sz w:val="28"/>
          <w:szCs w:val="28"/>
        </w:rPr>
        <w:t xml:space="preserve"> собівартості проїзду:</w:t>
      </w:r>
    </w:p>
    <w:p w:rsidR="00321D6D" w:rsidRPr="00AA0914" w:rsidRDefault="00321D6D" w:rsidP="00321D6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4">
        <w:rPr>
          <w:rFonts w:ascii="Times New Roman" w:hAnsi="Times New Roman" w:cs="Times New Roman"/>
          <w:sz w:val="28"/>
          <w:szCs w:val="28"/>
        </w:rPr>
        <w:t xml:space="preserve">- мінімальна заробітна плата зросла з 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>4173</w:t>
      </w:r>
      <w:r w:rsidRPr="00AA0914">
        <w:rPr>
          <w:rFonts w:ascii="Times New Roman" w:hAnsi="Times New Roman" w:cs="Times New Roman"/>
          <w:sz w:val="28"/>
          <w:szCs w:val="28"/>
        </w:rPr>
        <w:t xml:space="preserve">,0 грн. до 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Pr="00AA0914">
        <w:rPr>
          <w:rFonts w:ascii="Times New Roman" w:hAnsi="Times New Roman" w:cs="Times New Roman"/>
          <w:sz w:val="28"/>
          <w:szCs w:val="28"/>
        </w:rPr>
        <w:t>,0 грн.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210FC" w:rsidRPr="00AA0914">
        <w:rPr>
          <w:rFonts w:ascii="Times New Roman" w:hAnsi="Times New Roman" w:cs="Times New Roman"/>
          <w:sz w:val="28"/>
          <w:szCs w:val="28"/>
          <w:lang w:val="uk-UA"/>
        </w:rPr>
        <w:t>на 44%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0914">
        <w:rPr>
          <w:rFonts w:ascii="Times New Roman" w:hAnsi="Times New Roman" w:cs="Times New Roman"/>
          <w:sz w:val="28"/>
          <w:szCs w:val="28"/>
        </w:rPr>
        <w:t>;</w:t>
      </w:r>
    </w:p>
    <w:p w:rsidR="00321D6D" w:rsidRPr="00AA0914" w:rsidRDefault="00321D6D" w:rsidP="00321D6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4">
        <w:rPr>
          <w:rFonts w:ascii="Times New Roman" w:hAnsi="Times New Roman" w:cs="Times New Roman"/>
          <w:sz w:val="28"/>
          <w:szCs w:val="28"/>
        </w:rPr>
        <w:t xml:space="preserve">- вартість 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 xml:space="preserve">моторних та спеціальних </w:t>
      </w:r>
      <w:r w:rsidRPr="00AA0914">
        <w:rPr>
          <w:rFonts w:ascii="Times New Roman" w:hAnsi="Times New Roman" w:cs="Times New Roman"/>
          <w:sz w:val="28"/>
          <w:szCs w:val="28"/>
        </w:rPr>
        <w:t>мастил – з 1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AA0914">
        <w:rPr>
          <w:rFonts w:ascii="Times New Roman" w:hAnsi="Times New Roman" w:cs="Times New Roman"/>
          <w:sz w:val="28"/>
          <w:szCs w:val="28"/>
        </w:rPr>
        <w:t>,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A0914">
        <w:rPr>
          <w:rFonts w:ascii="Times New Roman" w:hAnsi="Times New Roman" w:cs="Times New Roman"/>
          <w:sz w:val="28"/>
          <w:szCs w:val="28"/>
        </w:rPr>
        <w:t xml:space="preserve"> грн. до 1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AA0914">
        <w:rPr>
          <w:rFonts w:ascii="Times New Roman" w:hAnsi="Times New Roman" w:cs="Times New Roman"/>
          <w:sz w:val="28"/>
          <w:szCs w:val="28"/>
        </w:rPr>
        <w:t>,0</w:t>
      </w:r>
      <w:r w:rsidR="00E210FC" w:rsidRPr="00AA0914">
        <w:rPr>
          <w:rFonts w:ascii="Times New Roman" w:hAnsi="Times New Roman" w:cs="Times New Roman"/>
          <w:sz w:val="28"/>
          <w:szCs w:val="28"/>
          <w:lang w:val="uk-UA"/>
        </w:rPr>
        <w:t xml:space="preserve"> (на 90%)</w:t>
      </w:r>
      <w:r w:rsidRPr="00AA0914">
        <w:rPr>
          <w:rFonts w:ascii="Times New Roman" w:hAnsi="Times New Roman" w:cs="Times New Roman"/>
          <w:sz w:val="28"/>
          <w:szCs w:val="28"/>
        </w:rPr>
        <w:t>;</w:t>
      </w:r>
    </w:p>
    <w:p w:rsidR="00321D6D" w:rsidRPr="00AA0914" w:rsidRDefault="00321D6D" w:rsidP="00321D6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4">
        <w:rPr>
          <w:rFonts w:ascii="Times New Roman" w:hAnsi="Times New Roman" w:cs="Times New Roman"/>
          <w:sz w:val="28"/>
          <w:szCs w:val="28"/>
        </w:rPr>
        <w:t>- запасні частини, зокрема вартість шин зросла з 3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AA0914">
        <w:rPr>
          <w:rFonts w:ascii="Times New Roman" w:hAnsi="Times New Roman" w:cs="Times New Roman"/>
          <w:sz w:val="28"/>
          <w:szCs w:val="28"/>
        </w:rPr>
        <w:t>0,0 грн. до 4200,0 грн.</w:t>
      </w:r>
      <w:r w:rsidR="00E210FC" w:rsidRPr="00AA0914">
        <w:rPr>
          <w:rFonts w:ascii="Times New Roman" w:hAnsi="Times New Roman" w:cs="Times New Roman"/>
          <w:sz w:val="28"/>
          <w:szCs w:val="28"/>
          <w:lang w:val="uk-UA"/>
        </w:rPr>
        <w:t xml:space="preserve"> (на 24%)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 xml:space="preserve"> на автобуси </w:t>
      </w:r>
      <w:r w:rsidR="00E210FC" w:rsidRPr="00AA0914">
        <w:rPr>
          <w:rFonts w:ascii="Times New Roman" w:hAnsi="Times New Roman" w:cs="Times New Roman"/>
          <w:sz w:val="28"/>
          <w:szCs w:val="28"/>
          <w:lang w:val="uk-UA"/>
        </w:rPr>
        <w:t>середньої місткості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 xml:space="preserve"> та з 1350,0 грн. до 3350</w:t>
      </w:r>
      <w:r w:rsidR="00253D8A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AA0914">
        <w:rPr>
          <w:rFonts w:ascii="Times New Roman" w:hAnsi="Times New Roman" w:cs="Times New Roman"/>
          <w:sz w:val="28"/>
          <w:szCs w:val="28"/>
          <w:lang w:val="uk-UA"/>
        </w:rPr>
        <w:t xml:space="preserve"> грн. на автобуси </w:t>
      </w:r>
      <w:r w:rsidR="00E210FC" w:rsidRPr="00AA0914">
        <w:rPr>
          <w:rFonts w:ascii="Times New Roman" w:hAnsi="Times New Roman" w:cs="Times New Roman"/>
          <w:sz w:val="28"/>
          <w:szCs w:val="28"/>
          <w:lang w:val="uk-UA"/>
        </w:rPr>
        <w:t>малої місткості (на 148%);</w:t>
      </w:r>
      <w:r w:rsidRPr="00AA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FC" w:rsidRPr="00AA0914" w:rsidRDefault="00321D6D" w:rsidP="00321D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A0914">
        <w:rPr>
          <w:sz w:val="28"/>
          <w:szCs w:val="28"/>
        </w:rPr>
        <w:t>- вартість акумуляторів – з 34</w:t>
      </w:r>
      <w:r w:rsidRPr="00AA0914">
        <w:rPr>
          <w:sz w:val="28"/>
          <w:szCs w:val="28"/>
          <w:lang w:val="uk-UA"/>
        </w:rPr>
        <w:t>5</w:t>
      </w:r>
      <w:r w:rsidRPr="00AA0914">
        <w:rPr>
          <w:sz w:val="28"/>
          <w:szCs w:val="28"/>
        </w:rPr>
        <w:t>0,0 грн. до 43</w:t>
      </w:r>
      <w:r w:rsidRPr="00AA0914">
        <w:rPr>
          <w:sz w:val="28"/>
          <w:szCs w:val="28"/>
          <w:lang w:val="uk-UA"/>
        </w:rPr>
        <w:t>0</w:t>
      </w:r>
      <w:r w:rsidRPr="00AA0914">
        <w:rPr>
          <w:sz w:val="28"/>
          <w:szCs w:val="28"/>
        </w:rPr>
        <w:t>0,0 грн.</w:t>
      </w:r>
      <w:r w:rsidRPr="00AA0914">
        <w:rPr>
          <w:sz w:val="28"/>
          <w:szCs w:val="28"/>
          <w:lang w:val="uk-UA"/>
        </w:rPr>
        <w:t xml:space="preserve"> на автобуси </w:t>
      </w:r>
      <w:r w:rsidR="00E210FC" w:rsidRPr="00AA0914">
        <w:rPr>
          <w:sz w:val="28"/>
          <w:szCs w:val="28"/>
          <w:lang w:val="uk-UA"/>
        </w:rPr>
        <w:t>середньої місткості (на 25%)</w:t>
      </w:r>
      <w:r w:rsidRPr="00AA0914">
        <w:rPr>
          <w:sz w:val="28"/>
          <w:szCs w:val="28"/>
          <w:lang w:val="uk-UA"/>
        </w:rPr>
        <w:t xml:space="preserve"> та з 1955,0 грн. до 3450</w:t>
      </w:r>
      <w:r w:rsidR="00253D8A">
        <w:rPr>
          <w:sz w:val="28"/>
          <w:szCs w:val="28"/>
          <w:lang w:val="uk-UA"/>
        </w:rPr>
        <w:t>,0</w:t>
      </w:r>
      <w:r w:rsidRPr="00AA0914">
        <w:rPr>
          <w:sz w:val="28"/>
          <w:szCs w:val="28"/>
          <w:lang w:val="uk-UA"/>
        </w:rPr>
        <w:t xml:space="preserve"> грн. </w:t>
      </w:r>
      <w:r w:rsidR="00E210FC" w:rsidRPr="00AA0914">
        <w:rPr>
          <w:sz w:val="28"/>
          <w:szCs w:val="28"/>
          <w:lang w:val="uk-UA"/>
        </w:rPr>
        <w:t xml:space="preserve">(на 76%) </w:t>
      </w:r>
      <w:r w:rsidRPr="00AA0914">
        <w:rPr>
          <w:sz w:val="28"/>
          <w:szCs w:val="28"/>
          <w:lang w:val="uk-UA"/>
        </w:rPr>
        <w:t xml:space="preserve">на автобуси </w:t>
      </w:r>
      <w:r w:rsidR="00E210FC" w:rsidRPr="00AA0914">
        <w:rPr>
          <w:sz w:val="28"/>
          <w:szCs w:val="28"/>
          <w:lang w:val="uk-UA"/>
        </w:rPr>
        <w:t>малої місткості.</w:t>
      </w:r>
    </w:p>
    <w:p w:rsidR="00644F9C" w:rsidRPr="00AA0914" w:rsidRDefault="00644F9C" w:rsidP="00321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14">
        <w:rPr>
          <w:sz w:val="28"/>
          <w:szCs w:val="28"/>
        </w:rPr>
        <w:t>У зв’язку з цим виникла необхідність переглянути діючий тариф на транспортні послуги, які надаються автомобільними перевізниками населенню на міських автобусних маршрутах загального користування.</w:t>
      </w:r>
    </w:p>
    <w:p w:rsidR="002A1393" w:rsidRPr="00AA0914" w:rsidRDefault="0045444C" w:rsidP="002A1393">
      <w:pPr>
        <w:pStyle w:val="a3"/>
        <w:spacing w:before="0" w:beforeAutospacing="0" w:after="0" w:afterAutospacing="0"/>
        <w:ind w:firstLine="7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Проє</w:t>
      </w:r>
      <w:r w:rsidR="00644F9C" w:rsidRPr="00AA0914">
        <w:rPr>
          <w:sz w:val="28"/>
          <w:szCs w:val="28"/>
        </w:rPr>
        <w:t>ктом рішення виконавчого комітету міської ради «</w:t>
      </w:r>
      <w:r w:rsidR="005D2882" w:rsidRPr="00AA0914">
        <w:rPr>
          <w:sz w:val="28"/>
          <w:szCs w:val="28"/>
          <w:lang w:val="uk-UA"/>
        </w:rPr>
        <w:t>Про вартість проїзду в міському пасажирському автомобільному транспорті</w:t>
      </w:r>
      <w:r w:rsidR="00644F9C" w:rsidRPr="00AA0914">
        <w:rPr>
          <w:sz w:val="28"/>
          <w:szCs w:val="28"/>
        </w:rPr>
        <w:t>» пропонується встановити</w:t>
      </w:r>
      <w:r w:rsidR="002A1393" w:rsidRPr="00AA0914">
        <w:rPr>
          <w:sz w:val="28"/>
          <w:szCs w:val="28"/>
          <w:lang w:val="uk-UA"/>
        </w:rPr>
        <w:t>:</w:t>
      </w:r>
    </w:p>
    <w:p w:rsidR="002A1393" w:rsidRPr="00DC310A" w:rsidRDefault="002A1393" w:rsidP="002A1393">
      <w:pPr>
        <w:pStyle w:val="a3"/>
        <w:spacing w:before="0" w:beforeAutospacing="0" w:after="0" w:afterAutospacing="0"/>
        <w:ind w:firstLine="743"/>
        <w:jc w:val="both"/>
        <w:rPr>
          <w:sz w:val="28"/>
          <w:szCs w:val="28"/>
          <w:lang w:val="uk-UA"/>
        </w:rPr>
      </w:pPr>
      <w:r w:rsidRPr="00DC310A">
        <w:rPr>
          <w:sz w:val="28"/>
          <w:szCs w:val="28"/>
          <w:lang w:val="uk-UA"/>
        </w:rPr>
        <w:t xml:space="preserve">- </w:t>
      </w:r>
      <w:r w:rsidR="00644F9C" w:rsidRPr="00DC310A">
        <w:rPr>
          <w:sz w:val="28"/>
          <w:szCs w:val="28"/>
        </w:rPr>
        <w:t xml:space="preserve"> граничну вартість разового квитка на проїзд у автобусі для перевезення  пасажирів в межах міста Чернігова у розмірі </w:t>
      </w:r>
      <w:r w:rsidR="00253D8A">
        <w:rPr>
          <w:sz w:val="28"/>
          <w:szCs w:val="28"/>
          <w:lang w:val="uk-UA"/>
        </w:rPr>
        <w:t>8</w:t>
      </w:r>
      <w:r w:rsidR="00644F9C" w:rsidRPr="00DC310A">
        <w:rPr>
          <w:sz w:val="28"/>
          <w:szCs w:val="28"/>
        </w:rPr>
        <w:t>,0</w:t>
      </w:r>
      <w:r w:rsidR="00253D8A">
        <w:rPr>
          <w:sz w:val="28"/>
          <w:szCs w:val="28"/>
        </w:rPr>
        <w:t>0</w:t>
      </w:r>
      <w:r w:rsidR="00A145EB">
        <w:rPr>
          <w:sz w:val="28"/>
          <w:szCs w:val="28"/>
        </w:rPr>
        <w:t xml:space="preserve"> грн;</w:t>
      </w:r>
    </w:p>
    <w:p w:rsidR="002A1393" w:rsidRPr="00DC310A" w:rsidRDefault="002A1393" w:rsidP="002A1393">
      <w:pPr>
        <w:pStyle w:val="a3"/>
        <w:spacing w:before="0" w:beforeAutospacing="0" w:after="0" w:afterAutospacing="0"/>
        <w:ind w:firstLine="743"/>
        <w:jc w:val="both"/>
        <w:rPr>
          <w:sz w:val="28"/>
          <w:szCs w:val="28"/>
          <w:lang w:val="uk-UA"/>
        </w:rPr>
      </w:pPr>
      <w:r w:rsidRPr="00DC310A">
        <w:rPr>
          <w:sz w:val="28"/>
          <w:szCs w:val="28"/>
          <w:lang w:val="uk-UA"/>
        </w:rPr>
        <w:t xml:space="preserve">- вартість разового квитка на проїзд в автобусі на міських маршрутах загального користування для учнів загальноосвітніх навчальних закладів </w:t>
      </w:r>
      <w:r w:rsidR="00341D60" w:rsidRPr="00DC310A">
        <w:rPr>
          <w:sz w:val="28"/>
          <w:szCs w:val="28"/>
          <w:lang w:val="uk-UA"/>
        </w:rPr>
        <w:t>міста</w:t>
      </w:r>
      <w:r w:rsidRPr="00DC310A">
        <w:rPr>
          <w:sz w:val="28"/>
          <w:szCs w:val="28"/>
          <w:lang w:val="uk-UA"/>
        </w:rPr>
        <w:t xml:space="preserve"> Чернігов</w:t>
      </w:r>
      <w:r w:rsidR="00341D60" w:rsidRPr="00DC310A">
        <w:rPr>
          <w:sz w:val="28"/>
          <w:szCs w:val="28"/>
          <w:lang w:val="uk-UA"/>
        </w:rPr>
        <w:t>а</w:t>
      </w:r>
      <w:r w:rsidRPr="00DC310A">
        <w:rPr>
          <w:sz w:val="28"/>
          <w:szCs w:val="28"/>
          <w:lang w:val="uk-UA"/>
        </w:rPr>
        <w:t xml:space="preserve">, при наявності учнівського квитка, на період з 1 вересня до 21 червня включно – </w:t>
      </w:r>
      <w:r w:rsidR="00253D8A">
        <w:rPr>
          <w:sz w:val="28"/>
          <w:szCs w:val="28"/>
          <w:lang w:val="uk-UA"/>
        </w:rPr>
        <w:t>4,0</w:t>
      </w:r>
      <w:r w:rsidR="0008263D" w:rsidRPr="00DC310A">
        <w:rPr>
          <w:sz w:val="28"/>
          <w:szCs w:val="28"/>
          <w:lang w:val="uk-UA"/>
        </w:rPr>
        <w:t>0</w:t>
      </w:r>
      <w:r w:rsidRPr="00DC310A">
        <w:rPr>
          <w:sz w:val="28"/>
          <w:szCs w:val="28"/>
          <w:lang w:val="uk-UA"/>
        </w:rPr>
        <w:t xml:space="preserve"> грн.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 w:rsidRPr="00AA0914">
        <w:rPr>
          <w:sz w:val="28"/>
          <w:szCs w:val="28"/>
        </w:rPr>
        <w:t xml:space="preserve">Прийняття даного регуляторного акта та </w:t>
      </w:r>
      <w:r>
        <w:rPr>
          <w:sz w:val="28"/>
          <w:szCs w:val="28"/>
        </w:rPr>
        <w:t xml:space="preserve">встановлення економічно обґрунтованого розміру тарифів на перевезення пасажирів автомобільним </w:t>
      </w:r>
      <w:r>
        <w:rPr>
          <w:sz w:val="28"/>
          <w:szCs w:val="28"/>
        </w:rPr>
        <w:lastRenderedPageBreak/>
        <w:t>транспортом на міських маршрутах загального користування, надасть можливість автопідприємствам міста вчасно виплачувати заробітну плату, сплачувати податки до бюджету, поновлювати основні фонди.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644F9C" w:rsidTr="00AB31CA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644F9C" w:rsidTr="00AB31CA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P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644F9C">
        <w:rPr>
          <w:sz w:val="28"/>
          <w:szCs w:val="28"/>
          <w:lang w:val="uk-UA"/>
        </w:rPr>
        <w:t>Проблема підвищення рівня тарифів на перевезення пасажирів на міських автобусних маршрутах загального користування не може бути розв’язана за допомогою ринкових механізмів у зв’язку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напрямку, зокрема: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відповідно до п.п.2 п. «а» ст.28 Закону України «Про місцеве самоврядування в Україні» виконавчі органи міських рад мають повноваження встановлювати тарифи на транспортні послуги;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відповідно до ст.10 Закону України «Про автомобільний транспорт»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перевезень;</w:t>
      </w:r>
    </w:p>
    <w:p w:rsidR="00644F9C" w:rsidRDefault="00644F9C" w:rsidP="00644F9C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 наказом Міністерства транспорту та зв’язку України від 17.11.2009р. № 1175 затверджена «Методика розрахунку тарифів на послуги пасажирського автомобільного транспорту</w:t>
      </w:r>
      <w:r>
        <w:rPr>
          <w:spacing w:val="-4"/>
          <w:sz w:val="28"/>
          <w:szCs w:val="28"/>
        </w:rPr>
        <w:t>», яка визначає механізм формування тарифів на послуги з перевезення пасажирів на автобусних маршрутах загального користування та є обов’язковою для застосування під час встановлення тарифів органами місцевого самоврядування на послуги пасажирського автомобільного транспорту.</w:t>
      </w:r>
      <w:r>
        <w:rPr>
          <w:sz w:val="28"/>
          <w:szCs w:val="28"/>
          <w:lang w:val="uk-UA"/>
        </w:rPr>
        <w:tab/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ІІ. Цілі регулювання</w:t>
      </w:r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приведення тарифу на перевезення пасажирів у міському пасажирському автотранспорті в місті Чернігові до економічно 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 xml:space="preserve">рунтованого рівня ; 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збереження ринку соціально важливої послуги пасажирських перевезень на міських автобусних маршрутах загального користування;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забезпечення безпечного функціонування автомобільного транспорту загального користування;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сприяння розвитку ринкової інфраструктури пасажирського автотранспорту;</w:t>
      </w:r>
    </w:p>
    <w:p w:rsidR="00644F9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підтримання рівня обслуговування пасажирів, фінансового стану автопідприємств та фізичних осіб-підприємців;</w:t>
      </w:r>
    </w:p>
    <w:p w:rsidR="00644F9C" w:rsidRPr="00F73F4C" w:rsidRDefault="00644F9C" w:rsidP="00644F9C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створення прозорого конкурентного середовища, збільшення ефективності використання рухомого складу.</w:t>
      </w:r>
    </w:p>
    <w:p w:rsidR="00644F9C" w:rsidRDefault="00644F9C" w:rsidP="00644F9C">
      <w:pPr>
        <w:jc w:val="center"/>
        <w:rPr>
          <w:rStyle w:val="rvts15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ІІІ. </w:t>
      </w:r>
      <w:r>
        <w:rPr>
          <w:rStyle w:val="rvts15"/>
          <w:b/>
          <w:sz w:val="28"/>
          <w:szCs w:val="28"/>
        </w:rPr>
        <w:t>Визначення та оцінка альтернативних способів досягнення цілей</w:t>
      </w:r>
    </w:p>
    <w:p w:rsidR="00F73F4C" w:rsidRPr="00F73F4C" w:rsidRDefault="00F73F4C" w:rsidP="00644F9C">
      <w:pPr>
        <w:jc w:val="center"/>
        <w:rPr>
          <w:b/>
          <w:sz w:val="28"/>
          <w:szCs w:val="28"/>
          <w:lang w:val="uk-UA"/>
        </w:rPr>
      </w:pPr>
    </w:p>
    <w:p w:rsidR="00644F9C" w:rsidRDefault="00644F9C" w:rsidP="00644F9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1. Визначення альтернативних способів</w:t>
      </w:r>
    </w:p>
    <w:p w:rsidR="00F73F4C" w:rsidRPr="00F73F4C" w:rsidRDefault="00F73F4C" w:rsidP="00644F9C">
      <w:pPr>
        <w:ind w:firstLine="709"/>
        <w:rPr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44F9C" w:rsidTr="00AB3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644F9C" w:rsidTr="00AB31CA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Збереження діючих тарифів, тобто вартість проїзду залишається незмінною.</w:t>
            </w:r>
          </w:p>
        </w:tc>
      </w:tr>
      <w:tr w:rsidR="00644F9C" w:rsidTr="00AB31CA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</w:rPr>
              <w:t>Дотації автопідприємствам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</w:rPr>
              <w:t xml:space="preserve">Встановлення дотації автопідприємствам на покриття збитків від неповного відшкодування тарифом економічно обґрунтованих витрат. </w:t>
            </w:r>
          </w:p>
        </w:tc>
      </w:tr>
      <w:tr w:rsidR="00644F9C" w:rsidTr="00AB31CA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Забезпечення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both"/>
              <w:rPr>
                <w:rFonts w:cs="TimesNewRoman"/>
                <w:sz w:val="28"/>
                <w:lang w:val="uk-UA"/>
              </w:rPr>
            </w:pPr>
            <w:r>
              <w:rPr>
                <w:snapToGrid w:val="0"/>
                <w:sz w:val="28"/>
                <w:szCs w:val="28"/>
              </w:rPr>
              <w:t>Прийняття рішення виконавчого комітету міської ради «</w:t>
            </w:r>
            <w:r w:rsidR="005D2882" w:rsidRPr="004A16EF">
              <w:rPr>
                <w:sz w:val="28"/>
                <w:szCs w:val="28"/>
                <w:lang w:val="uk-UA"/>
              </w:rPr>
              <w:t>Про вартість проїзду в міському пасажирському автомобільному транспорті</w:t>
            </w:r>
            <w:r>
              <w:rPr>
                <w:rStyle w:val="FontStyle13"/>
                <w:sz w:val="28"/>
                <w:szCs w:val="28"/>
                <w:lang w:eastAsia="uk-UA"/>
              </w:rPr>
              <w:t>».</w:t>
            </w:r>
          </w:p>
        </w:tc>
      </w:tr>
    </w:tbl>
    <w:p w:rsidR="00644F9C" w:rsidRDefault="00644F9C" w:rsidP="00644F9C">
      <w:pPr>
        <w:pStyle w:val="Default"/>
        <w:ind w:firstLine="708"/>
        <w:rPr>
          <w:lang w:val="uk-UA"/>
        </w:rPr>
      </w:pPr>
    </w:p>
    <w:p w:rsidR="00644F9C" w:rsidRDefault="00644F9C" w:rsidP="00644F9C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644F9C" w:rsidRDefault="00644F9C" w:rsidP="00644F9C">
      <w:pPr>
        <w:ind w:left="360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Оцінка впливу на сферу інтересів держави (територіальної громади)</w:t>
      </w:r>
    </w:p>
    <w:p w:rsidR="00644F9C" w:rsidRDefault="00644F9C" w:rsidP="00644F9C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644F9C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Витрати </w:t>
            </w:r>
          </w:p>
        </w:tc>
      </w:tr>
      <w:tr w:rsidR="00644F9C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7948F9" w:rsidP="00AB31CA">
            <w:pPr>
              <w:ind w:hanging="128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="00644F9C"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>
              <w:t>Банкрутство автотранспортних підприємств. Зменшення надходжень до бюджету.</w:t>
            </w:r>
          </w:p>
          <w:p w:rsidR="00644F9C" w:rsidRDefault="00644F9C" w:rsidP="00AB31CA">
            <w:pPr>
              <w:ind w:right="27" w:firstLine="27"/>
              <w:jc w:val="center"/>
            </w:pPr>
            <w:r>
              <w:t>Погіршення якості та зменшення обсягу пасажирських перевезень автотранспортом.</w:t>
            </w:r>
          </w:p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</w:p>
        </w:tc>
      </w:tr>
      <w:tr w:rsidR="00644F9C" w:rsidTr="00AB31CA">
        <w:trPr>
          <w:trHeight w:val="132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</w:rPr>
              <w:t>Дотації автопідприємствам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Збереження пасажирських перевезень автотранспортом.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Додаткові витрати бюджету.</w:t>
            </w:r>
          </w:p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Збільшення корупційних ризиків.</w:t>
            </w:r>
          </w:p>
        </w:tc>
      </w:tr>
      <w:tr w:rsidR="00644F9C" w:rsidTr="00AB31CA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Забезпечення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Збільшення надходжень до міського бюджету від сплати обов’язкових платежів.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Відсутні.</w:t>
            </w:r>
          </w:p>
        </w:tc>
      </w:tr>
    </w:tbl>
    <w:p w:rsidR="00644F9C" w:rsidRPr="00C35B22" w:rsidRDefault="00644F9C" w:rsidP="00644F9C"/>
    <w:p w:rsidR="00F73F4C" w:rsidRDefault="00F73F4C" w:rsidP="00644F9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Оцінка впливу на сферу інтересів громадян</w:t>
      </w:r>
    </w:p>
    <w:p w:rsidR="00644F9C" w:rsidRDefault="00644F9C" w:rsidP="00644F9C">
      <w:pPr>
        <w:pStyle w:val="Default"/>
        <w:ind w:firstLine="708"/>
        <w:jc w:val="both"/>
        <w:rPr>
          <w:b/>
          <w:color w:val="auto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644F9C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Витрати </w:t>
            </w:r>
          </w:p>
        </w:tc>
      </w:tr>
      <w:tr w:rsidR="00644F9C" w:rsidRPr="00253D8A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28"/>
              <w:jc w:val="center"/>
              <w:rPr>
                <w:lang w:val="uk-UA"/>
              </w:rPr>
            </w:pPr>
            <w:r>
              <w:t>Збереження діючих тарифів, тобто витрати на проїзд залишаються незмінними.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 w:rsidRPr="00C35B22">
              <w:rPr>
                <w:lang w:val="uk-UA"/>
              </w:rPr>
              <w:t>Зменшення кількості робочих місць.</w:t>
            </w:r>
          </w:p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 w:rsidRPr="00C35B22">
              <w:rPr>
                <w:lang w:val="uk-UA"/>
              </w:rPr>
              <w:t>Погіршення якості та зменшення обсягу пасажирських перевезень автотранспортом.</w:t>
            </w:r>
          </w:p>
        </w:tc>
      </w:tr>
      <w:tr w:rsidR="00644F9C" w:rsidTr="00AB31CA">
        <w:trPr>
          <w:trHeight w:val="12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</w:rPr>
              <w:t>Дотації автопідприємствам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Збереження діючих тарифів, тобто витрати на проїзд залишаються незмінними.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Відсутні</w:t>
            </w:r>
          </w:p>
        </w:tc>
      </w:tr>
      <w:tr w:rsidR="00644F9C" w:rsidTr="00AB31CA">
        <w:trPr>
          <w:trHeight w:val="12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Забезпечення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lang w:val="uk-UA"/>
              </w:rPr>
            </w:pPr>
            <w:r>
              <w:t>Поліпшення якості надання транспортних послуг та безпеки руху.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4C0408">
            <w:pPr>
              <w:jc w:val="center"/>
              <w:rPr>
                <w:lang w:val="uk-UA"/>
              </w:rPr>
            </w:pPr>
            <w:r>
              <w:t xml:space="preserve">Збільшення витрат на проїзд </w:t>
            </w:r>
            <w:r w:rsidRPr="00DC310A">
              <w:t xml:space="preserve">на </w:t>
            </w:r>
            <w:r w:rsidR="004C0408">
              <w:t>2</w:t>
            </w:r>
            <w:r w:rsidR="00FA29AE" w:rsidRPr="00DC310A">
              <w:rPr>
                <w:lang w:val="uk-UA"/>
              </w:rPr>
              <w:t>,0</w:t>
            </w:r>
            <w:r w:rsidR="004C0408">
              <w:rPr>
                <w:lang w:val="uk-UA"/>
              </w:rPr>
              <w:t>0</w:t>
            </w:r>
            <w:r w:rsidRPr="00DC310A">
              <w:t xml:space="preserve"> грн. </w:t>
            </w:r>
            <w:r w:rsidR="00897509">
              <w:rPr>
                <w:lang w:val="uk-UA"/>
              </w:rPr>
              <w:t xml:space="preserve">та </w:t>
            </w:r>
            <w:r w:rsidR="004C0408">
              <w:rPr>
                <w:lang w:val="uk-UA"/>
              </w:rPr>
              <w:t>1</w:t>
            </w:r>
            <w:r w:rsidR="00897509">
              <w:rPr>
                <w:lang w:val="uk-UA"/>
              </w:rPr>
              <w:t>,</w:t>
            </w:r>
            <w:r w:rsidR="004C0408">
              <w:rPr>
                <w:lang w:val="uk-UA"/>
              </w:rPr>
              <w:t>00</w:t>
            </w:r>
            <w:r w:rsidR="00897509">
              <w:rPr>
                <w:lang w:val="uk-UA"/>
              </w:rPr>
              <w:t xml:space="preserve"> грн для учнів </w:t>
            </w:r>
            <w:r w:rsidRPr="00DC310A">
              <w:t xml:space="preserve">за </w:t>
            </w:r>
            <w:r>
              <w:t>поїздку в автотранспорті.</w:t>
            </w:r>
          </w:p>
        </w:tc>
      </w:tr>
    </w:tbl>
    <w:p w:rsidR="00934E64" w:rsidRDefault="00934E64" w:rsidP="00644F9C">
      <w:pPr>
        <w:pStyle w:val="Default"/>
        <w:jc w:val="center"/>
        <w:rPr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8A3952" w:rsidTr="00850B73">
        <w:trPr>
          <w:trHeight w:val="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8A3952" w:rsidTr="00850B73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8A3952" w:rsidTr="00850B73">
        <w:trPr>
          <w:trHeight w:val="3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850B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850B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826"/>
        <w:gridCol w:w="2696"/>
      </w:tblGrid>
      <w:tr w:rsidR="00644F9C" w:rsidTr="00E47D34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644F9C" w:rsidTr="00E47D34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Залучення додаткових джерел обігових коштів.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</w:rPr>
              <w:t>Дотації автопідприємствам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продуктивності та конкурентноспроможності суб’єктів господарювання при умові наявності коштів у бюджеті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7948F9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Ризик відсутності дотації  у зв’язку з дефіцитом коштів </w:t>
            </w:r>
            <w:r w:rsidR="007948F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бюджеті.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регулювання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продуктивності та конкурентноспроможності суб’єктів господарювання.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 сталих економічних умов роботи.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Задоволення підприємницького інтересу.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678"/>
      </w:tblGrid>
      <w:tr w:rsidR="00644F9C" w:rsidRPr="00C35B22" w:rsidTr="00AB31CA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Сумарні витрати </w:t>
            </w:r>
            <w:r>
              <w:rPr>
                <w:rStyle w:val="rvts0"/>
                <w:b/>
                <w:sz w:val="28"/>
                <w:szCs w:val="28"/>
              </w:rPr>
              <w:t>для суб’єктів господарювання великого і середнього підприємництва</w:t>
            </w:r>
            <w:r w:rsidR="00E210FC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644F9C" w:rsidRPr="00C35B22" w:rsidTr="00AB31CA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Відсутність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2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rFonts w:cs="TimesNewRoman"/>
                <w:sz w:val="28"/>
                <w:szCs w:val="28"/>
                <w:lang w:val="uk-UA"/>
              </w:rPr>
              <w:t>Дотації автопідприємствам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3</w:t>
            </w:r>
          </w:p>
          <w:p w:rsidR="00644F9C" w:rsidRPr="00C35B22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Забезпечення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644F9C" w:rsidRPr="00C35B22" w:rsidRDefault="00644F9C" w:rsidP="00644F9C">
      <w:pPr>
        <w:pStyle w:val="Default"/>
        <w:jc w:val="center"/>
        <w:rPr>
          <w:b/>
          <w:bCs/>
          <w:lang w:val="uk-UA"/>
        </w:rPr>
      </w:pPr>
    </w:p>
    <w:p w:rsidR="00934E64" w:rsidRDefault="00934E64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IV</w:t>
      </w:r>
      <w:r w:rsidRPr="00C35B22">
        <w:rPr>
          <w:b/>
          <w:bCs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644F9C" w:rsidTr="00AB31CA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 результативності</w:t>
            </w:r>
          </w:p>
          <w:p w:rsidR="00644F9C" w:rsidRDefault="00644F9C" w:rsidP="00AB31CA">
            <w:pPr>
              <w:pStyle w:val="Default"/>
              <w:ind w:left="-218" w:right="-1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644F9C" w:rsidTr="00AB31CA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</w:rPr>
              <w:t>Погіршення технічного стану рухомого складу, погіршення якості та безпеки послуг, втрати кваліфікованих фахівців,  що в свою чергу, ставить під загрозу постійне задоволення потреб населення міста в автоперевезеннях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644F9C" w:rsidTr="00AB31CA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</w:rPr>
              <w:t>Дотації автопідприємствам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Не вирішується прийняттям регуляторного акта.</w:t>
            </w:r>
          </w:p>
        </w:tc>
      </w:tr>
      <w:tr w:rsidR="00644F9C" w:rsidTr="00AB31CA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регулювання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897509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Прийняття проє</w:t>
            </w:r>
            <w:r w:rsidR="00644F9C">
              <w:rPr>
                <w:color w:val="auto"/>
                <w:lang w:val="uk-UA"/>
              </w:rPr>
              <w:t>кту рішення забезпечить досягнення цілей та розв’язання вищезазначених проблем.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966"/>
        <w:gridCol w:w="2347"/>
        <w:gridCol w:w="2397"/>
      </w:tblGrid>
      <w:tr w:rsidR="00644F9C" w:rsidTr="00934E64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результатив-ності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44F9C" w:rsidTr="00934E64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t>Збереження тарифів на колишньому рівні, тобто витрати на проїзд залишаються незмінними.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>
              <w:t>Банкрутство автотранспортних підприємств. Зменшення надходжень до бюджету.</w:t>
            </w:r>
          </w:p>
          <w:p w:rsidR="00644F9C" w:rsidRDefault="00644F9C" w:rsidP="00AB31CA">
            <w:pPr>
              <w:ind w:right="27" w:firstLine="27"/>
              <w:jc w:val="center"/>
            </w:pPr>
            <w:r>
              <w:t>Погіршення якості та зменшення обсягу пасажирських перевезень автотранспортом.</w:t>
            </w:r>
          </w:p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>
              <w:t>Зменшення кількості робочих місць.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right="27" w:firstLine="27"/>
              <w:jc w:val="center"/>
              <w:rPr>
                <w:lang w:val="uk-UA"/>
              </w:rPr>
            </w:pPr>
            <w:r>
              <w:t>Загроза скорочення обсягів пасажирських перевезень автотранспортом.</w:t>
            </w:r>
          </w:p>
        </w:tc>
      </w:tr>
      <w:tr w:rsidR="00644F9C" w:rsidRPr="00253D8A" w:rsidTr="00934E64">
        <w:trPr>
          <w:trHeight w:val="523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8"/>
              </w:rPr>
              <w:t>Дотації авто</w:t>
            </w:r>
            <w:r>
              <w:rPr>
                <w:rFonts w:cs="TimesNewRoman"/>
                <w:sz w:val="28"/>
                <w:szCs w:val="28"/>
                <w:lang w:val="en-US"/>
              </w:rPr>
              <w:t>-</w:t>
            </w:r>
            <w:r>
              <w:rPr>
                <w:rFonts w:cs="TimesNewRoman"/>
                <w:sz w:val="28"/>
                <w:szCs w:val="28"/>
              </w:rPr>
              <w:t>підприємствам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продуктивності та конкурентноспроможності суб’єктів господарювання.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t>Збереження тарифів на колишньому рівні, тобто витрати на проїзд залишаються незмінними.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витрати бюджету.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t>Збільшення корупційних ризиків.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Ризик відсутності дотації  у зв’язку з дефіцитом коштів в бюджеті.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Не вирішується прийняттям регуляторного акта.</w:t>
            </w:r>
          </w:p>
          <w:p w:rsidR="00644F9C" w:rsidRDefault="00FA29AE" w:rsidP="00FA29A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Існує р</w:t>
            </w:r>
            <w:r w:rsidR="00644F9C">
              <w:rPr>
                <w:lang w:val="uk-UA"/>
              </w:rPr>
              <w:t>изик відсутності фінансування з бюджету з об’єктивних причин.</w:t>
            </w:r>
          </w:p>
        </w:tc>
      </w:tr>
      <w:tr w:rsidR="00644F9C" w:rsidTr="00934E64">
        <w:trPr>
          <w:trHeight w:val="5267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Забезпечення регулювання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t>Збільшення надходжень до міського бюджету від сплати обов’язкових платежів.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продуктивності та конкурентноспроможності суб’єктів господарювання.</w:t>
            </w:r>
          </w:p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t>Поліпшення якості надання транспортних послуг та безпеки руху.</w:t>
            </w:r>
          </w:p>
          <w:p w:rsidR="00644F9C" w:rsidRDefault="00644F9C" w:rsidP="00AB31CA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0C78BC" w:rsidP="00FA29AE">
            <w:pPr>
              <w:pStyle w:val="Default"/>
              <w:rPr>
                <w:sz w:val="28"/>
                <w:szCs w:val="28"/>
                <w:lang w:val="uk-UA"/>
              </w:rPr>
            </w:pPr>
            <w:r>
              <w:t xml:space="preserve">Збільшення витрат на проїзд </w:t>
            </w:r>
            <w:r w:rsidRPr="00DC310A">
              <w:t xml:space="preserve">на </w:t>
            </w:r>
            <w:r>
              <w:t>2</w:t>
            </w:r>
            <w:r w:rsidRPr="00DC310A">
              <w:rPr>
                <w:lang w:val="uk-UA"/>
              </w:rPr>
              <w:t>,0</w:t>
            </w:r>
            <w:r>
              <w:rPr>
                <w:lang w:val="uk-UA"/>
              </w:rPr>
              <w:t>0</w:t>
            </w:r>
            <w:r w:rsidRPr="00DC310A">
              <w:t xml:space="preserve"> грн. </w:t>
            </w:r>
            <w:r>
              <w:rPr>
                <w:lang w:val="uk-UA"/>
              </w:rPr>
              <w:t xml:space="preserve">та 1,00 грн для учнів </w:t>
            </w:r>
            <w:r w:rsidRPr="00DC310A">
              <w:t xml:space="preserve">за </w:t>
            </w:r>
            <w:r>
              <w:t>поїздку в автотранспорті.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FA29AE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Забезпечення стабільності функціонування автотранспорту загального користування.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644F9C" w:rsidTr="00AB31CA">
        <w:trPr>
          <w:trHeight w:val="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4F9C" w:rsidRPr="00026192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2144A1" w:rsidRDefault="00644F9C" w:rsidP="00AB31CA">
            <w:pPr>
              <w:ind w:hanging="142"/>
              <w:jc w:val="center"/>
              <w:rPr>
                <w:lang w:val="uk-UA"/>
              </w:rPr>
            </w:pPr>
            <w:r w:rsidRPr="002144A1">
              <w:rPr>
                <w:snapToGrid w:val="0"/>
              </w:rPr>
              <w:t>Прийняття рішення виконавчого комітету міської ради «</w:t>
            </w:r>
            <w:r w:rsidRPr="002144A1">
              <w:rPr>
                <w:rStyle w:val="FontStyle13"/>
                <w:sz w:val="24"/>
                <w:szCs w:val="24"/>
                <w:lang w:eastAsia="uk-UA"/>
              </w:rPr>
              <w:t xml:space="preserve">Про вартість проїзду у міському пасажирському </w:t>
            </w:r>
            <w:r w:rsidR="002144A1" w:rsidRPr="002144A1">
              <w:rPr>
                <w:rStyle w:val="FontStyle13"/>
                <w:sz w:val="24"/>
                <w:szCs w:val="24"/>
                <w:lang w:val="uk-UA" w:eastAsia="uk-UA"/>
              </w:rPr>
              <w:t xml:space="preserve">автомобільному </w:t>
            </w:r>
            <w:r w:rsidRPr="002144A1">
              <w:rPr>
                <w:rStyle w:val="FontStyle13"/>
                <w:sz w:val="24"/>
                <w:szCs w:val="24"/>
                <w:lang w:eastAsia="uk-UA"/>
              </w:rPr>
              <w:t>транспорті».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регуляторний акт при розв’язанні визначеної проблеми є найбільш ефективним способом.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2"/>
              <w:rPr>
                <w:lang w:val="uk-UA"/>
              </w:rPr>
            </w:pPr>
            <w:r>
              <w:t>Непередбачуваними загрозами досягненн</w:t>
            </w:r>
            <w:r w:rsidR="00026192">
              <w:t>я мети даного регуляторного акта</w:t>
            </w:r>
            <w:r>
              <w:t xml:space="preserve"> є суттєві зміни у діючому законодавстві стосовно організації міських пасажирських перевезень, цінові коливання на ринку паливно-мастильних матеріалів.</w:t>
            </w:r>
          </w:p>
          <w:p w:rsidR="00644F9C" w:rsidRDefault="00026192" w:rsidP="00AB31CA">
            <w:pPr>
              <w:ind w:hanging="2"/>
              <w:rPr>
                <w:lang w:val="uk-UA"/>
              </w:rPr>
            </w:pPr>
            <w:r>
              <w:rPr>
                <w:lang w:val="uk-UA"/>
              </w:rPr>
              <w:t>На дію даного регуляторного акта</w:t>
            </w:r>
            <w:r w:rsidR="00644F9C" w:rsidRPr="00C35B22">
              <w:rPr>
                <w:lang w:val="uk-UA"/>
              </w:rPr>
              <w:t xml:space="preserve"> негативно можуть вплинути економічна криза та значні темпи інфляції, що погіршить фінансову стабільність суб’єктів господарювання, які надають відповідні послуги, призведе до ще більшого здорожчання пального та запчастин, шин до автомобілів. </w:t>
            </w:r>
            <w:r w:rsidR="00644F9C" w:rsidRPr="00026192">
              <w:rPr>
                <w:lang w:val="uk-UA"/>
              </w:rPr>
              <w:t>Відповідно</w:t>
            </w:r>
            <w:r w:rsidR="00934E64">
              <w:rPr>
                <w:lang w:val="uk-UA"/>
              </w:rPr>
              <w:t>,</w:t>
            </w:r>
            <w:r w:rsidR="00644F9C" w:rsidRPr="00026192">
              <w:rPr>
                <w:lang w:val="uk-UA"/>
              </w:rPr>
              <w:t xml:space="preserve"> даний тариф знову стане економічно необ</w:t>
            </w:r>
            <w:r w:rsidR="00644F9C" w:rsidRPr="00026192">
              <w:rPr>
                <w:bCs/>
                <w:lang w:val="uk-UA"/>
              </w:rPr>
              <w:t>ґ</w:t>
            </w:r>
            <w:r w:rsidR="00644F9C" w:rsidRPr="00026192">
              <w:rPr>
                <w:lang w:val="uk-UA"/>
              </w:rPr>
              <w:t>рунтованим.</w:t>
            </w:r>
          </w:p>
        </w:tc>
      </w:tr>
      <w:tr w:rsidR="00644F9C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lang w:val="uk-UA"/>
              </w:rPr>
            </w:pPr>
            <w:r>
              <w:rPr>
                <w:rFonts w:cs="TimesNewRoman"/>
              </w:rPr>
              <w:t>Дотації автопідприємствам на покриття збитків від неповного відшкодування тарифом економічно обґрунтованих витрат.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Навантаження на бюджет. У разі </w:t>
            </w:r>
            <w:r w:rsidRPr="00B36C6A">
              <w:rPr>
                <w:color w:val="auto"/>
                <w:lang w:val="uk-UA"/>
              </w:rPr>
              <w:t>відсутності фінансування з бюджету ситуація залишається без змін.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AB31CA">
        <w:trPr>
          <w:trHeight w:val="7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lang w:val="uk-UA"/>
              </w:rPr>
            </w:pPr>
            <w:r>
              <w:t>Збереження діючих тарифів, тобто вартість проїзду залишається незмінною.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Ситуація залишається без змін, проблема не вирішується.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E47D34" w:rsidRDefault="00E47D34" w:rsidP="00644F9C">
      <w:pPr>
        <w:ind w:firstLine="709"/>
        <w:jc w:val="both"/>
        <w:rPr>
          <w:sz w:val="28"/>
          <w:szCs w:val="28"/>
          <w:lang w:val="uk-UA"/>
        </w:rPr>
      </w:pPr>
    </w:p>
    <w:p w:rsidR="00E47D34" w:rsidRDefault="00E47D34" w:rsidP="00644F9C">
      <w:pPr>
        <w:ind w:firstLine="709"/>
        <w:jc w:val="both"/>
        <w:rPr>
          <w:sz w:val="28"/>
          <w:szCs w:val="28"/>
          <w:lang w:val="uk-UA"/>
        </w:rPr>
      </w:pPr>
    </w:p>
    <w:p w:rsidR="00E47D34" w:rsidRDefault="00E47D34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Механізми та заходи, що пропонуються для розв’язання проблем</w:t>
      </w:r>
    </w:p>
    <w:p w:rsidR="00644F9C" w:rsidRDefault="00644F9C" w:rsidP="00644F9C">
      <w:pPr>
        <w:ind w:right="-1" w:firstLine="709"/>
        <w:jc w:val="both"/>
        <w:rPr>
          <w:sz w:val="28"/>
          <w:szCs w:val="28"/>
        </w:rPr>
      </w:pPr>
    </w:p>
    <w:p w:rsidR="00644F9C" w:rsidRDefault="00644F9C" w:rsidP="00644F9C">
      <w:pPr>
        <w:ind w:right="-1"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sz w:val="28"/>
          <w:szCs w:val="28"/>
        </w:rPr>
        <w:t>Для розв’язання проблеми пропонується прийняття рішення виконавчого комітету міської ради «</w:t>
      </w:r>
      <w:r w:rsidR="00E47D34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E47D34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>
        <w:rPr>
          <w:rStyle w:val="FontStyle13"/>
          <w:sz w:val="28"/>
          <w:szCs w:val="28"/>
          <w:lang w:eastAsia="uk-UA"/>
        </w:rPr>
        <w:t>».</w:t>
      </w:r>
    </w:p>
    <w:p w:rsidR="00644F9C" w:rsidRDefault="00644F9C" w:rsidP="00644F9C">
      <w:pPr>
        <w:ind w:firstLine="709"/>
        <w:jc w:val="both"/>
      </w:pPr>
      <w:r>
        <w:rPr>
          <w:sz w:val="28"/>
          <w:szCs w:val="28"/>
        </w:rPr>
        <w:t>Механізм дії за</w:t>
      </w:r>
      <w:r w:rsidR="00026192">
        <w:rPr>
          <w:sz w:val="28"/>
          <w:szCs w:val="28"/>
        </w:rPr>
        <w:t>пропонованого регуляторного акта</w:t>
      </w:r>
      <w:r>
        <w:rPr>
          <w:sz w:val="28"/>
          <w:szCs w:val="28"/>
        </w:rPr>
        <w:t xml:space="preserve"> спрямований на приведення тарифу на перевезення пасажирів у міському пасажирському автотранспорті в місті Чернігові до економічно об</w:t>
      </w:r>
      <w:r>
        <w:rPr>
          <w:bCs/>
          <w:sz w:val="28"/>
          <w:szCs w:val="28"/>
        </w:rPr>
        <w:t>ґ</w:t>
      </w:r>
      <w:r>
        <w:rPr>
          <w:sz w:val="28"/>
          <w:szCs w:val="28"/>
        </w:rPr>
        <w:t>рунтованого рівня.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bCs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4F9C" w:rsidRDefault="00644F9C" w:rsidP="00644F9C">
      <w:pPr>
        <w:ind w:firstLine="709"/>
        <w:rPr>
          <w:lang w:val="uk-UA"/>
        </w:rPr>
      </w:pPr>
    </w:p>
    <w:p w:rsidR="00644F9C" w:rsidRPr="00C35B22" w:rsidRDefault="00026192" w:rsidP="00644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регуляторного акта</w:t>
      </w:r>
      <w:r w:rsidR="00644F9C" w:rsidRPr="00C35B22">
        <w:rPr>
          <w:sz w:val="28"/>
          <w:szCs w:val="28"/>
          <w:lang w:val="uk-UA"/>
        </w:rPr>
        <w:t xml:space="preserve"> дозволить сформувати прозорі, чіткі та зрозумілі правила поведінки суб'єктів підприємницької діяльності та споживачів на ринку пасажирських перевезень в місті Чернігові.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 w:rsidRPr="00C35B22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</w:t>
      </w:r>
      <w:r w:rsidR="00E47D34" w:rsidRPr="004A16EF">
        <w:rPr>
          <w:sz w:val="28"/>
          <w:szCs w:val="28"/>
          <w:lang w:val="uk-UA"/>
        </w:rPr>
        <w:t xml:space="preserve">Про вартість проїзду </w:t>
      </w:r>
      <w:r w:rsidR="00B14D8B">
        <w:rPr>
          <w:sz w:val="28"/>
          <w:szCs w:val="28"/>
          <w:lang w:val="uk-UA"/>
        </w:rPr>
        <w:t>у</w:t>
      </w:r>
      <w:r w:rsidR="00E47D34" w:rsidRPr="004A16EF">
        <w:rPr>
          <w:sz w:val="28"/>
          <w:szCs w:val="28"/>
          <w:lang w:val="uk-UA"/>
        </w:rPr>
        <w:t xml:space="preserve"> міському пасажирському автомобільному транспорті</w:t>
      </w:r>
      <w:r w:rsidRPr="00C35B22">
        <w:rPr>
          <w:sz w:val="28"/>
          <w:szCs w:val="28"/>
          <w:lang w:val="uk-UA"/>
        </w:rPr>
        <w:t xml:space="preserve">», тобто приведення у відповідність тарифів на послуги з перевезення пасажирів до економічно обґрунтованого рівня і розрахункових витрат суб’єктів господарювання, які надають відповідні послуги. </w:t>
      </w:r>
      <w:r>
        <w:rPr>
          <w:sz w:val="28"/>
          <w:szCs w:val="28"/>
        </w:rPr>
        <w:t xml:space="preserve">Дія цього регуляторного акта надасть змогу забезпечити безпеку та якість транспортного обслуговування населення на автобусних маршрутах. </w:t>
      </w:r>
    </w:p>
    <w:p w:rsidR="00644F9C" w:rsidRDefault="00644F9C" w:rsidP="00644F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прийняття рішення </w:t>
      </w:r>
      <w:r>
        <w:rPr>
          <w:snapToGrid w:val="0"/>
          <w:sz w:val="28"/>
          <w:szCs w:val="28"/>
          <w:lang w:val="uk-UA"/>
        </w:rPr>
        <w:t>«</w:t>
      </w:r>
      <w:r>
        <w:rPr>
          <w:rStyle w:val="FontStyle13"/>
          <w:color w:val="auto"/>
          <w:sz w:val="28"/>
          <w:szCs w:val="28"/>
          <w:lang w:val="uk-UA" w:eastAsia="uk-UA"/>
        </w:rPr>
        <w:t xml:space="preserve">Про </w:t>
      </w:r>
      <w:r>
        <w:rPr>
          <w:rStyle w:val="FontStyle13"/>
          <w:sz w:val="28"/>
          <w:szCs w:val="28"/>
          <w:lang w:val="uk-UA" w:eastAsia="uk-UA"/>
        </w:rPr>
        <w:t xml:space="preserve">вартість проїзду у міському пасажирському </w:t>
      </w:r>
      <w:r w:rsidR="00B14D8B" w:rsidRPr="004A16EF">
        <w:rPr>
          <w:sz w:val="28"/>
          <w:szCs w:val="28"/>
          <w:lang w:val="uk-UA"/>
        </w:rPr>
        <w:t>автомобільному</w:t>
      </w:r>
      <w:r w:rsidR="00B14D8B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транспорті</w:t>
      </w:r>
      <w:r>
        <w:rPr>
          <w:rStyle w:val="FontStyle13"/>
          <w:color w:val="auto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виділення додаткових коштів із міського бюджету не передбачається. </w:t>
      </w:r>
    </w:p>
    <w:p w:rsidR="00644F9C" w:rsidRDefault="00644F9C" w:rsidP="00644F9C">
      <w:pPr>
        <w:ind w:firstLine="709"/>
        <w:rPr>
          <w:b/>
          <w:sz w:val="28"/>
          <w:szCs w:val="28"/>
          <w:lang w:val="uk-UA"/>
        </w:rPr>
      </w:pPr>
      <w:r>
        <w:rPr>
          <w:rStyle w:val="rvts0"/>
          <w:sz w:val="28"/>
          <w:szCs w:val="28"/>
        </w:rPr>
        <w:t>Витрати на запровадження державного регулювання для суб’єктів малого підприємництва не передбачаються.</w:t>
      </w:r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Pr="00C35B22" w:rsidRDefault="00644F9C" w:rsidP="00644F9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VII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Обґрунтування запропонованого строку дії регуляторного акта</w:t>
      </w:r>
    </w:p>
    <w:p w:rsidR="00644F9C" w:rsidRPr="00C35B22" w:rsidRDefault="00644F9C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</w:rPr>
        <w:t>Термін дії чинності за</w:t>
      </w:r>
      <w:r w:rsidR="00026192">
        <w:rPr>
          <w:snapToGrid w:val="0"/>
          <w:color w:val="000000"/>
          <w:sz w:val="28"/>
          <w:szCs w:val="28"/>
        </w:rPr>
        <w:t>пропонованого регуляторного акта</w:t>
      </w:r>
      <w:r>
        <w:rPr>
          <w:snapToGrid w:val="0"/>
          <w:color w:val="000000"/>
          <w:sz w:val="28"/>
          <w:szCs w:val="28"/>
        </w:rPr>
        <w:t xml:space="preserve"> необмежений. Його дія постійна з можливістю внесен</w:t>
      </w:r>
      <w:r w:rsidR="00026192">
        <w:rPr>
          <w:snapToGrid w:val="0"/>
          <w:color w:val="000000"/>
          <w:sz w:val="28"/>
          <w:szCs w:val="28"/>
        </w:rPr>
        <w:t>ня змін до прийняття нового акта</w:t>
      </w:r>
      <w:r>
        <w:rPr>
          <w:snapToGrid w:val="0"/>
          <w:color w:val="000000"/>
          <w:sz w:val="28"/>
          <w:szCs w:val="28"/>
        </w:rPr>
        <w:t>. При</w:t>
      </w:r>
      <w:r w:rsidR="00026192">
        <w:rPr>
          <w:snapToGrid w:val="0"/>
          <w:color w:val="000000"/>
          <w:sz w:val="28"/>
          <w:szCs w:val="28"/>
        </w:rPr>
        <w:t>йняття нового регуляторного акта</w:t>
      </w:r>
      <w:r>
        <w:rPr>
          <w:snapToGrid w:val="0"/>
          <w:color w:val="000000"/>
          <w:sz w:val="28"/>
          <w:szCs w:val="28"/>
        </w:rPr>
        <w:t xml:space="preserve"> відбуватиметься у разі збільшення або зменшення собівартості послуг з перевезення пасажирів </w:t>
      </w:r>
      <w:r>
        <w:rPr>
          <w:sz w:val="28"/>
          <w:szCs w:val="28"/>
        </w:rPr>
        <w:t xml:space="preserve">в </w:t>
      </w:r>
      <w:r>
        <w:rPr>
          <w:snapToGrid w:val="0"/>
          <w:color w:val="000000"/>
          <w:sz w:val="28"/>
          <w:szCs w:val="28"/>
        </w:rPr>
        <w:t>автобусах.</w:t>
      </w:r>
    </w:p>
    <w:p w:rsidR="00644F9C" w:rsidRDefault="00644F9C" w:rsidP="00644F9C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Зміни, д</w:t>
      </w:r>
      <w:r>
        <w:rPr>
          <w:sz w:val="28"/>
          <w:szCs w:val="28"/>
        </w:rPr>
        <w:t>оповнення будуть вноситись за підсумками аналізу відстеження його результативності, внесення змін до чинного законодавства України тощо.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Визначення показників рез</w:t>
      </w:r>
      <w:r w:rsidR="00026192">
        <w:rPr>
          <w:b/>
          <w:sz w:val="28"/>
          <w:szCs w:val="28"/>
        </w:rPr>
        <w:t>ультативності регуляторного акта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результаті </w:t>
      </w:r>
      <w:r w:rsidR="00026192">
        <w:rPr>
          <w:sz w:val="28"/>
          <w:szCs w:val="28"/>
        </w:rPr>
        <w:t>впровадження регуляторного акта</w:t>
      </w:r>
      <w:r>
        <w:rPr>
          <w:sz w:val="28"/>
          <w:szCs w:val="28"/>
        </w:rPr>
        <w:t xml:space="preserve"> будуть досліджені та вивчені наступні показники результативності: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Кількість суб’єктів господарювання, на які поширюється дія даного регуляторного акта.</w:t>
      </w:r>
    </w:p>
    <w:p w:rsidR="00644F9C" w:rsidRDefault="00026192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Дія регуляторного акта</w:t>
      </w:r>
      <w:r w:rsidR="00644F9C">
        <w:rPr>
          <w:sz w:val="28"/>
          <w:szCs w:val="28"/>
        </w:rPr>
        <w:t xml:space="preserve"> поширюється на суб’єкти господарювання міста, незалежно від форм власності, підпорядкованості і методів організації праці та виробництва, які виконують перевезення пасажирів на міських автобусних  маршрутах, і населення Чернігова, яке є споживачами даного виду послуг.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Розмір надходжень до </w:t>
      </w:r>
      <w:r w:rsidR="00002409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>бюджету.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Кількість скарг/звернень громадян на якість надання відповідних послуг.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Рівень поінформованості суб’єктів господарювання та фізичних осіб</w:t>
      </w:r>
      <w:r>
        <w:rPr>
          <w:sz w:val="28"/>
          <w:szCs w:val="28"/>
        </w:rPr>
        <w:t>-підприємців</w:t>
      </w:r>
      <w:r>
        <w:rPr>
          <w:bCs/>
          <w:sz w:val="28"/>
          <w:szCs w:val="28"/>
        </w:rPr>
        <w:t xml:space="preserve"> з основних положень акта.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Інформування зацікавлених суб’єктів господарювання та фізичних осіб</w:t>
      </w:r>
      <w:r>
        <w:rPr>
          <w:sz w:val="28"/>
          <w:szCs w:val="28"/>
        </w:rPr>
        <w:t>-підприємців</w:t>
      </w:r>
      <w:r>
        <w:rPr>
          <w:bCs/>
          <w:sz w:val="28"/>
          <w:szCs w:val="28"/>
        </w:rPr>
        <w:t xml:space="preserve"> про рішення виконавчого комітету буде здійснено шляхом його оприлюднення в друкованих і електронних засобах інформації.</w:t>
      </w:r>
    </w:p>
    <w:p w:rsidR="00093E51" w:rsidRPr="00353461" w:rsidRDefault="00093E51" w:rsidP="00093E51">
      <w:pPr>
        <w:ind w:firstLine="709"/>
        <w:jc w:val="both"/>
        <w:rPr>
          <w:b/>
          <w:bCs/>
          <w:snapToGrid w:val="0"/>
          <w:color w:val="000000"/>
          <w:sz w:val="28"/>
          <w:szCs w:val="28"/>
          <w:lang w:val="uk-UA"/>
        </w:rPr>
      </w:pPr>
      <w:r w:rsidRPr="00DD0D46">
        <w:rPr>
          <w:bCs/>
          <w:sz w:val="28"/>
          <w:szCs w:val="28"/>
        </w:rPr>
        <w:t xml:space="preserve">Крім того зі змістом рішення виконавчого комітету </w:t>
      </w:r>
      <w:r w:rsidRPr="00DD0D46">
        <w:rPr>
          <w:sz w:val="28"/>
          <w:szCs w:val="28"/>
        </w:rPr>
        <w:t xml:space="preserve">можна ознайомитися </w:t>
      </w:r>
      <w:r>
        <w:rPr>
          <w:sz w:val="28"/>
          <w:szCs w:val="28"/>
        </w:rPr>
        <w:t xml:space="preserve">на </w:t>
      </w:r>
      <w:r w:rsidRPr="00353461">
        <w:rPr>
          <w:sz w:val="28"/>
          <w:szCs w:val="28"/>
        </w:rPr>
        <w:t xml:space="preserve">офіційному </w:t>
      </w:r>
      <w:r w:rsidRPr="00353461">
        <w:rPr>
          <w:sz w:val="28"/>
          <w:szCs w:val="28"/>
          <w:lang w:val="uk-UA"/>
        </w:rPr>
        <w:t>вебпорталі</w:t>
      </w:r>
      <w:r w:rsidRPr="00353461">
        <w:rPr>
          <w:sz w:val="28"/>
          <w:szCs w:val="28"/>
        </w:rPr>
        <w:t xml:space="preserve"> Чернігівської</w:t>
      </w:r>
      <w:r>
        <w:rPr>
          <w:sz w:val="28"/>
          <w:szCs w:val="28"/>
        </w:rPr>
        <w:t xml:space="preserve"> міської ради </w:t>
      </w:r>
      <w:r w:rsidRPr="00353461">
        <w:rPr>
          <w:sz w:val="28"/>
          <w:szCs w:val="28"/>
          <w:lang w:val="uk-UA"/>
        </w:rPr>
        <w:t xml:space="preserve">за посиланням: </w:t>
      </w:r>
      <w:hyperlink r:id="rId6" w:tgtFrame="_blank" w:history="1">
        <w:r w:rsidRPr="00353461">
          <w:rPr>
            <w:rStyle w:val="a5"/>
            <w:sz w:val="28"/>
            <w:szCs w:val="28"/>
          </w:rPr>
          <w:t>www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chernigiv</w:t>
        </w:r>
        <w:r w:rsidRPr="00353461">
          <w:rPr>
            <w:rStyle w:val="a5"/>
            <w:sz w:val="28"/>
            <w:szCs w:val="28"/>
            <w:lang w:val="uk-UA"/>
          </w:rPr>
          <w:t>-</w:t>
        </w:r>
        <w:r w:rsidRPr="00353461">
          <w:rPr>
            <w:rStyle w:val="a5"/>
            <w:sz w:val="28"/>
            <w:szCs w:val="28"/>
          </w:rPr>
          <w:t>rada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gov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ua</w:t>
        </w:r>
      </w:hyperlink>
      <w:r w:rsidRPr="00353461">
        <w:rPr>
          <w:sz w:val="28"/>
          <w:szCs w:val="28"/>
          <w:lang w:val="uk-UA"/>
        </w:rPr>
        <w:t xml:space="preserve"> у розділі «Публічна інформація», підрозділ «Регуляторна політика», рубрика «Оприлюднення проєктів регуляторних актів»</w:t>
      </w:r>
      <w:r>
        <w:rPr>
          <w:sz w:val="28"/>
          <w:szCs w:val="28"/>
          <w:lang w:val="uk-UA"/>
        </w:rPr>
        <w:t>.</w:t>
      </w:r>
    </w:p>
    <w:p w:rsidR="00E47D34" w:rsidRDefault="00E47D34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jc w:val="center"/>
        <w:rPr>
          <w:rStyle w:val="rvts15"/>
          <w:b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IX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r>
        <w:rPr>
          <w:rStyle w:val="rvts15"/>
          <w:b/>
          <w:sz w:val="28"/>
          <w:szCs w:val="28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Відповідно до цього регуляторного акта буде здійснюватись базове, повторне та періодичне відстеження результативності в межах строків, передбачених Законом України «</w:t>
      </w:r>
      <w:r>
        <w:rPr>
          <w:snapToGrid w:val="0"/>
          <w:sz w:val="28"/>
          <w:szCs w:val="28"/>
        </w:rPr>
        <w:t>Про засади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державної регуляторної політики у сфері господарської діяльності».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Базове відстеження результативності регуляторного акт</w:t>
      </w:r>
      <w:r w:rsidR="00026192">
        <w:rPr>
          <w:snapToGrid w:val="0"/>
          <w:color w:val="000000"/>
          <w:sz w:val="28"/>
          <w:szCs w:val="28"/>
          <w:lang w:val="uk-UA"/>
        </w:rPr>
        <w:t>а</w:t>
      </w:r>
      <w:r>
        <w:rPr>
          <w:snapToGrid w:val="0"/>
          <w:color w:val="000000"/>
          <w:sz w:val="28"/>
          <w:szCs w:val="28"/>
        </w:rPr>
        <w:t xml:space="preserve"> здійснюється до дня набрання ч</w:t>
      </w:r>
      <w:r w:rsidR="00026192">
        <w:rPr>
          <w:snapToGrid w:val="0"/>
          <w:color w:val="000000"/>
          <w:sz w:val="28"/>
          <w:szCs w:val="28"/>
        </w:rPr>
        <w:t>инності цього 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Повторне відстеження результативності буде здійснюватись через рік після набрання чинності</w:t>
      </w:r>
      <w:r w:rsidR="00026192">
        <w:rPr>
          <w:snapToGrid w:val="0"/>
          <w:color w:val="000000"/>
          <w:sz w:val="28"/>
          <w:szCs w:val="28"/>
          <w:lang w:val="uk-UA"/>
        </w:rPr>
        <w:t xml:space="preserve"> цього 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 xml:space="preserve">Періодичні відстеження результативності будуть здійснюватися один раз на кожні три роки </w:t>
      </w:r>
      <w:r w:rsidR="00024E6E" w:rsidRPr="00360B6E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="00026192">
        <w:rPr>
          <w:snapToGrid w:val="0"/>
          <w:sz w:val="28"/>
          <w:szCs w:val="28"/>
        </w:rPr>
        <w:t>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Відстеження результатів регуляторного акта будуть проводитись на основі статистичних даних.</w:t>
      </w:r>
    </w:p>
    <w:p w:rsidR="00DB20E2" w:rsidRPr="009C2EB2" w:rsidRDefault="00DB20E2" w:rsidP="00DB20E2">
      <w:pPr>
        <w:pStyle w:val="rvps12"/>
        <w:jc w:val="center"/>
        <w:rPr>
          <w:b/>
          <w:sz w:val="28"/>
          <w:szCs w:val="28"/>
        </w:rPr>
      </w:pPr>
      <w:r w:rsidRPr="009C2EB2">
        <w:rPr>
          <w:rStyle w:val="rvts15"/>
          <w:b/>
          <w:sz w:val="28"/>
          <w:szCs w:val="28"/>
        </w:rPr>
        <w:t xml:space="preserve">ТЕСТ </w:t>
      </w:r>
      <w:r w:rsidRPr="009C2EB2">
        <w:rPr>
          <w:b/>
          <w:sz w:val="28"/>
          <w:szCs w:val="28"/>
        </w:rPr>
        <w:br/>
      </w:r>
      <w:r w:rsidRPr="009C2EB2">
        <w:rPr>
          <w:rStyle w:val="rvts15"/>
          <w:b/>
          <w:sz w:val="28"/>
          <w:szCs w:val="28"/>
        </w:rPr>
        <w:t>малого підприємництва (М-Тест)</w:t>
      </w:r>
    </w:p>
    <w:p w:rsidR="00DB20E2" w:rsidRPr="00526412" w:rsidRDefault="00DB20E2" w:rsidP="004937D8">
      <w:pPr>
        <w:pStyle w:val="rvps2"/>
        <w:ind w:firstLine="709"/>
        <w:rPr>
          <w:sz w:val="28"/>
          <w:szCs w:val="28"/>
        </w:rPr>
      </w:pPr>
      <w:bookmarkStart w:id="1" w:name="n200"/>
      <w:bookmarkEnd w:id="1"/>
      <w:r w:rsidRPr="00526412">
        <w:rPr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  <w:r w:rsidR="009416BE">
        <w:rPr>
          <w:sz w:val="28"/>
          <w:szCs w:val="28"/>
        </w:rPr>
        <w:t>.</w:t>
      </w:r>
    </w:p>
    <w:p w:rsidR="00DB20E2" w:rsidRPr="00B66098" w:rsidRDefault="00DB20E2" w:rsidP="009416BE">
      <w:pPr>
        <w:pStyle w:val="rvps2"/>
        <w:ind w:firstLine="709"/>
        <w:jc w:val="both"/>
        <w:rPr>
          <w:sz w:val="28"/>
          <w:szCs w:val="28"/>
        </w:rPr>
      </w:pPr>
      <w:bookmarkStart w:id="2" w:name="n201"/>
      <w:bookmarkEnd w:id="2"/>
      <w:r w:rsidRPr="00526412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</w:t>
      </w:r>
      <w:r>
        <w:rPr>
          <w:sz w:val="28"/>
          <w:szCs w:val="28"/>
        </w:rPr>
        <w:t xml:space="preserve">оведено розробником у </w:t>
      </w:r>
      <w:r w:rsidR="002A0416">
        <w:rPr>
          <w:sz w:val="28"/>
          <w:szCs w:val="28"/>
        </w:rPr>
        <w:t>період з «05</w:t>
      </w:r>
      <w:r w:rsidRPr="00B66098">
        <w:rPr>
          <w:sz w:val="28"/>
          <w:szCs w:val="28"/>
        </w:rPr>
        <w:t xml:space="preserve">» </w:t>
      </w:r>
      <w:r w:rsidR="002A0416">
        <w:rPr>
          <w:sz w:val="28"/>
          <w:szCs w:val="28"/>
        </w:rPr>
        <w:t>липня</w:t>
      </w:r>
      <w:r w:rsidRPr="00B66098">
        <w:rPr>
          <w:sz w:val="28"/>
          <w:szCs w:val="28"/>
        </w:rPr>
        <w:t xml:space="preserve"> 20</w:t>
      </w:r>
      <w:r w:rsidR="009416BE" w:rsidRPr="00B66098">
        <w:rPr>
          <w:sz w:val="28"/>
          <w:szCs w:val="28"/>
        </w:rPr>
        <w:t>21</w:t>
      </w:r>
      <w:r w:rsidRPr="00B66098">
        <w:rPr>
          <w:sz w:val="28"/>
          <w:szCs w:val="28"/>
        </w:rPr>
        <w:t xml:space="preserve"> р. по «</w:t>
      </w:r>
      <w:r w:rsidR="00B66098" w:rsidRPr="00B66098">
        <w:rPr>
          <w:sz w:val="28"/>
          <w:szCs w:val="28"/>
          <w:lang w:val="ru-RU"/>
        </w:rPr>
        <w:t>30</w:t>
      </w:r>
      <w:r w:rsidRPr="00B66098">
        <w:rPr>
          <w:sz w:val="28"/>
          <w:szCs w:val="28"/>
        </w:rPr>
        <w:t xml:space="preserve">» </w:t>
      </w:r>
      <w:r w:rsidR="002A0416">
        <w:rPr>
          <w:sz w:val="28"/>
          <w:szCs w:val="28"/>
        </w:rPr>
        <w:t xml:space="preserve">липня </w:t>
      </w:r>
      <w:r w:rsidRPr="00B66098">
        <w:rPr>
          <w:sz w:val="28"/>
          <w:szCs w:val="28"/>
        </w:rPr>
        <w:t>20</w:t>
      </w:r>
      <w:r w:rsidR="009416BE" w:rsidRPr="00B66098">
        <w:rPr>
          <w:sz w:val="28"/>
          <w:szCs w:val="28"/>
        </w:rPr>
        <w:t>21</w:t>
      </w:r>
      <w:r w:rsidRPr="00B66098">
        <w:rPr>
          <w:sz w:val="28"/>
          <w:szCs w:val="28"/>
        </w:rPr>
        <w:t xml:space="preserve"> р.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2552"/>
      </w:tblGrid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Порядко</w:t>
            </w:r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вий номер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Кількість учасників консульта</w:t>
            </w:r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цій, осіб</w:t>
            </w:r>
          </w:p>
        </w:tc>
        <w:tc>
          <w:tcPr>
            <w:tcW w:w="2552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 xml:space="preserve">Основні результати консультацій 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9416BE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vMerge w:val="restart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Регуляторний акт не спричиняє витрати суб’єктів малого підприємництва на виконання його вимог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  <w:r w:rsidR="009416BE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</w:p>
        </w:tc>
      </w:tr>
    </w:tbl>
    <w:p w:rsidR="00DB20E2" w:rsidRPr="0000062A" w:rsidRDefault="00DB20E2" w:rsidP="00B81E37">
      <w:pPr>
        <w:pStyle w:val="rvps2"/>
        <w:spacing w:before="0" w:beforeAutospacing="0" w:after="0" w:afterAutospacing="0"/>
        <w:ind w:firstLine="709"/>
        <w:rPr>
          <w:sz w:val="28"/>
          <w:szCs w:val="28"/>
        </w:rPr>
      </w:pPr>
      <w:r w:rsidRPr="0000062A">
        <w:rPr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204"/>
      <w:bookmarkEnd w:id="3"/>
      <w:r w:rsidRPr="008A3952">
        <w:rPr>
          <w:sz w:val="28"/>
          <w:szCs w:val="28"/>
        </w:rPr>
        <w:t>кількість суб’єктів малого підприємництва, на яких поширюється регулювання: 13 одиниць, у тому числі малого підприємництва 4 одиниці та мікропідприємництва 5 одиниць;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205"/>
      <w:bookmarkEnd w:id="4"/>
      <w:r w:rsidRPr="008A3952">
        <w:rPr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вплив, 69 відсотків.</w:t>
      </w:r>
    </w:p>
    <w:p w:rsidR="00DB20E2" w:rsidRPr="0000062A" w:rsidRDefault="00DB20E2" w:rsidP="009416BE">
      <w:pPr>
        <w:pStyle w:val="rvps2"/>
        <w:ind w:firstLine="709"/>
        <w:jc w:val="both"/>
        <w:rPr>
          <w:sz w:val="28"/>
          <w:szCs w:val="28"/>
        </w:rPr>
      </w:pPr>
      <w:bookmarkStart w:id="5" w:name="n206"/>
      <w:bookmarkEnd w:id="5"/>
      <w:r w:rsidRPr="0000062A">
        <w:rPr>
          <w:sz w:val="28"/>
          <w:szCs w:val="28"/>
        </w:rPr>
        <w:t>3. Розрахунок витрат суб’єктів малого підприємництва на виконання вимог регулювання</w:t>
      </w:r>
      <w:r w:rsidR="009416BE">
        <w:rPr>
          <w:sz w:val="28"/>
          <w:szCs w:val="28"/>
        </w:rPr>
        <w:t>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701"/>
        <w:gridCol w:w="1566"/>
        <w:gridCol w:w="1128"/>
      </w:tblGrid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Поряд</w:t>
            </w:r>
            <w:r w:rsidR="009416BE">
              <w:rPr>
                <w:rStyle w:val="rvts0"/>
              </w:rPr>
              <w:t>-</w:t>
            </w:r>
            <w:r>
              <w:rPr>
                <w:rStyle w:val="rvts0"/>
              </w:rPr>
              <w:t>ковий номер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Найменування оцінки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У перший рік (стартовий рік впровадження регулювання)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Періодичні (за наступний рік)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 xml:space="preserve">Витрати за </w:t>
            </w:r>
            <w:r>
              <w:br/>
            </w:r>
            <w:r>
              <w:rPr>
                <w:rStyle w:val="rvts0"/>
              </w:rPr>
              <w:t>п’ять років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організації виконання вимог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офіційного звітування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B20E2" w:rsidRPr="00940FE8" w:rsidRDefault="00DB20E2" w:rsidP="003631E5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FE8">
        <w:rPr>
          <w:sz w:val="28"/>
          <w:szCs w:val="28"/>
        </w:rPr>
        <w:t>Бюджетні витрати на адміністрування регулювання суб’єктів малого підприємництва не передбачаються.</w:t>
      </w:r>
    </w:p>
    <w:p w:rsidR="00DB20E2" w:rsidRDefault="00DB20E2" w:rsidP="003631E5">
      <w:pPr>
        <w:ind w:firstLine="709"/>
        <w:jc w:val="both"/>
        <w:rPr>
          <w:rStyle w:val="rvts0"/>
          <w:sz w:val="28"/>
          <w:szCs w:val="28"/>
        </w:rPr>
      </w:pPr>
      <w:bookmarkStart w:id="6" w:name="n209"/>
      <w:bookmarkEnd w:id="6"/>
      <w:r w:rsidRPr="00940FE8">
        <w:rPr>
          <w:rStyle w:val="rvts0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</w:t>
      </w:r>
      <w:r>
        <w:rPr>
          <w:rStyle w:val="rvts0"/>
          <w:sz w:val="28"/>
          <w:szCs w:val="28"/>
        </w:rPr>
        <w:t>.</w:t>
      </w:r>
    </w:p>
    <w:p w:rsidR="00B81E37" w:rsidRDefault="00B81E37" w:rsidP="00B81E37">
      <w:pPr>
        <w:ind w:firstLine="709"/>
        <w:rPr>
          <w:rStyle w:val="rvts0"/>
          <w:sz w:val="28"/>
          <w:szCs w:val="28"/>
        </w:rPr>
      </w:pPr>
    </w:p>
    <w:p w:rsidR="00AB31CA" w:rsidRPr="00AB31CA" w:rsidRDefault="00DB20E2" w:rsidP="00B81E37">
      <w:pPr>
        <w:ind w:firstLine="709"/>
        <w:rPr>
          <w:rStyle w:val="rvts0"/>
          <w:sz w:val="28"/>
          <w:szCs w:val="28"/>
          <w:lang w:val="uk-UA"/>
        </w:rPr>
      </w:pPr>
      <w:r w:rsidRPr="00940FE8">
        <w:rPr>
          <w:rStyle w:val="rvts0"/>
          <w:sz w:val="28"/>
          <w:szCs w:val="28"/>
        </w:rPr>
        <w:t xml:space="preserve">4. </w:t>
      </w:r>
      <w:r w:rsidR="00AB31CA" w:rsidRPr="00AB31CA">
        <w:rPr>
          <w:sz w:val="28"/>
          <w:szCs w:val="28"/>
          <w:shd w:val="clear" w:color="auto" w:fill="FFFFFF"/>
        </w:rPr>
        <w:t>Розрахунок сумарних витрат суб’єктів малого підприємництва, що виникають на виконання вимог регулювання</w:t>
      </w:r>
      <w:r w:rsidR="00AB31CA">
        <w:rPr>
          <w:sz w:val="28"/>
          <w:szCs w:val="28"/>
          <w:shd w:val="clear" w:color="auto" w:fill="FFFFFF"/>
          <w:lang w:val="uk-UA"/>
        </w:rPr>
        <w:t>.</w:t>
      </w:r>
    </w:p>
    <w:tbl>
      <w:tblPr>
        <w:tblStyle w:val="a4"/>
        <w:tblW w:w="9210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418"/>
      </w:tblGrid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Поряд-ковий номер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Показник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Перший рік регулювання (стартовий)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За п’ять років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Сумарні витрати на виконання запланованого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</w:tbl>
    <w:p w:rsidR="00AB31CA" w:rsidRPr="00B81E37" w:rsidRDefault="00AB31CA" w:rsidP="00DB20E2">
      <w:pPr>
        <w:rPr>
          <w:rStyle w:val="rvts0"/>
          <w:sz w:val="28"/>
          <w:szCs w:val="28"/>
          <w:lang w:val="uk-UA"/>
        </w:rPr>
      </w:pPr>
    </w:p>
    <w:p w:rsidR="00DB20E2" w:rsidRDefault="00DB20E2" w:rsidP="00B81E37">
      <w:pPr>
        <w:ind w:firstLine="709"/>
        <w:rPr>
          <w:rStyle w:val="rvts0"/>
          <w:sz w:val="28"/>
          <w:szCs w:val="28"/>
        </w:rPr>
      </w:pPr>
      <w:r w:rsidRPr="00940FE8">
        <w:rPr>
          <w:rStyle w:val="rvts0"/>
          <w:sz w:val="28"/>
          <w:szCs w:val="28"/>
        </w:rPr>
        <w:t>Витрати суб’єктів малого підприємництва, що виникають на виконання вимог регулювання, відсутні.</w:t>
      </w:r>
    </w:p>
    <w:p w:rsidR="00DB20E2" w:rsidRPr="00A212A7" w:rsidRDefault="00DB20E2" w:rsidP="00B81E37">
      <w:pPr>
        <w:ind w:firstLine="709"/>
        <w:rPr>
          <w:sz w:val="28"/>
          <w:szCs w:val="28"/>
        </w:rPr>
      </w:pPr>
      <w:r w:rsidRPr="00A212A7">
        <w:rPr>
          <w:rStyle w:val="rvts0"/>
          <w:sz w:val="28"/>
          <w:szCs w:val="28"/>
        </w:rPr>
        <w:t>5. В</w:t>
      </w:r>
      <w:r>
        <w:rPr>
          <w:rStyle w:val="rvts0"/>
          <w:sz w:val="28"/>
          <w:szCs w:val="28"/>
        </w:rPr>
        <w:t>ідсутня необхідність р</w:t>
      </w:r>
      <w:r w:rsidRPr="00A212A7">
        <w:rPr>
          <w:rStyle w:val="rvts0"/>
          <w:sz w:val="28"/>
          <w:szCs w:val="28"/>
        </w:rPr>
        <w:t>озробленн</w:t>
      </w:r>
      <w:r>
        <w:rPr>
          <w:rStyle w:val="rvts0"/>
          <w:sz w:val="28"/>
          <w:szCs w:val="28"/>
        </w:rPr>
        <w:t>я</w:t>
      </w:r>
      <w:r w:rsidRPr="00A212A7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 корегуючих</w:t>
      </w:r>
      <w:r w:rsidRPr="00A212A7">
        <w:rPr>
          <w:rStyle w:val="rvts0"/>
          <w:sz w:val="28"/>
          <w:szCs w:val="28"/>
        </w:rPr>
        <w:t xml:space="preserve"> (пом’якшувальних) заходів для малого підприємництва щодо запропонованого регулювання</w:t>
      </w:r>
      <w:r>
        <w:rPr>
          <w:rStyle w:val="rvts0"/>
          <w:sz w:val="28"/>
          <w:szCs w:val="28"/>
        </w:rPr>
        <w:t>.</w:t>
      </w:r>
    </w:p>
    <w:p w:rsidR="00B36C6A" w:rsidRDefault="00B36C6A" w:rsidP="00644F9C">
      <w:pPr>
        <w:rPr>
          <w:b/>
          <w:snapToGrid w:val="0"/>
          <w:color w:val="000000"/>
          <w:sz w:val="28"/>
          <w:szCs w:val="28"/>
        </w:rPr>
      </w:pPr>
    </w:p>
    <w:p w:rsidR="00E47D34" w:rsidRDefault="00644F9C" w:rsidP="00644F9C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Начальник управління транспорту</w:t>
      </w:r>
      <w:r w:rsidR="00E47D34">
        <w:rPr>
          <w:sz w:val="28"/>
          <w:szCs w:val="28"/>
          <w:lang w:val="uk-UA"/>
        </w:rPr>
        <w:t>,</w:t>
      </w:r>
    </w:p>
    <w:p w:rsidR="00AB31CA" w:rsidRDefault="007F1F0E" w:rsidP="00B36C6A">
      <w:pPr>
        <w:pStyle w:val="a3"/>
        <w:tabs>
          <w:tab w:val="left" w:pos="7088"/>
        </w:tabs>
        <w:spacing w:before="0" w:beforeAutospacing="0" w:after="0" w:afterAutospacing="0"/>
      </w:pPr>
      <w:r>
        <w:rPr>
          <w:sz w:val="28"/>
          <w:szCs w:val="28"/>
          <w:lang w:val="uk-UA"/>
        </w:rPr>
        <w:t>т</w:t>
      </w:r>
      <w:r w:rsidR="00E47D34">
        <w:rPr>
          <w:sz w:val="28"/>
          <w:szCs w:val="28"/>
          <w:lang w:val="uk-UA"/>
        </w:rPr>
        <w:t xml:space="preserve">ранспортної інфраструктури </w:t>
      </w:r>
      <w:r w:rsidR="00644F9C">
        <w:rPr>
          <w:sz w:val="28"/>
          <w:szCs w:val="28"/>
        </w:rPr>
        <w:t xml:space="preserve">та </w:t>
      </w:r>
      <w:r w:rsidR="00644F9C">
        <w:rPr>
          <w:sz w:val="28"/>
          <w:szCs w:val="28"/>
        </w:rPr>
        <w:br/>
        <w:t>зв’язку Чернігівської міської ради</w:t>
      </w:r>
      <w:r w:rsidR="00644F9C">
        <w:rPr>
          <w:sz w:val="28"/>
          <w:szCs w:val="28"/>
        </w:rPr>
        <w:tab/>
      </w:r>
      <w:r w:rsidR="00B36C6A">
        <w:rPr>
          <w:sz w:val="28"/>
          <w:szCs w:val="28"/>
          <w:lang w:val="uk-UA"/>
        </w:rPr>
        <w:t>Олександр РИЖИЙ</w:t>
      </w:r>
    </w:p>
    <w:sectPr w:rsidR="00AB31CA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C"/>
    <w:rsid w:val="00002409"/>
    <w:rsid w:val="00006896"/>
    <w:rsid w:val="000146E6"/>
    <w:rsid w:val="000148CA"/>
    <w:rsid w:val="00024E6E"/>
    <w:rsid w:val="00026192"/>
    <w:rsid w:val="00031CDF"/>
    <w:rsid w:val="00075D5C"/>
    <w:rsid w:val="00080DA3"/>
    <w:rsid w:val="0008263D"/>
    <w:rsid w:val="00085587"/>
    <w:rsid w:val="00093E51"/>
    <w:rsid w:val="000C1E18"/>
    <w:rsid w:val="000C3D79"/>
    <w:rsid w:val="000C78BC"/>
    <w:rsid w:val="000F4F57"/>
    <w:rsid w:val="001121AC"/>
    <w:rsid w:val="001A7379"/>
    <w:rsid w:val="001E071A"/>
    <w:rsid w:val="002144A1"/>
    <w:rsid w:val="00240911"/>
    <w:rsid w:val="00253D8A"/>
    <w:rsid w:val="002613E8"/>
    <w:rsid w:val="00262254"/>
    <w:rsid w:val="002A0416"/>
    <w:rsid w:val="002A1393"/>
    <w:rsid w:val="002C4B40"/>
    <w:rsid w:val="002E2935"/>
    <w:rsid w:val="002E3C7E"/>
    <w:rsid w:val="00321D6D"/>
    <w:rsid w:val="00341D60"/>
    <w:rsid w:val="003631E5"/>
    <w:rsid w:val="0039753A"/>
    <w:rsid w:val="003C459C"/>
    <w:rsid w:val="00423EFC"/>
    <w:rsid w:val="0045444C"/>
    <w:rsid w:val="004647B3"/>
    <w:rsid w:val="00466F87"/>
    <w:rsid w:val="004937D8"/>
    <w:rsid w:val="004A16EF"/>
    <w:rsid w:val="004C0408"/>
    <w:rsid w:val="004C6353"/>
    <w:rsid w:val="004D7BB4"/>
    <w:rsid w:val="00577446"/>
    <w:rsid w:val="005D2882"/>
    <w:rsid w:val="005E006D"/>
    <w:rsid w:val="00644D64"/>
    <w:rsid w:val="00644F9C"/>
    <w:rsid w:val="00662931"/>
    <w:rsid w:val="00673EE1"/>
    <w:rsid w:val="006F5569"/>
    <w:rsid w:val="00706100"/>
    <w:rsid w:val="007423A3"/>
    <w:rsid w:val="007948F9"/>
    <w:rsid w:val="007A2D27"/>
    <w:rsid w:val="007F1F0E"/>
    <w:rsid w:val="00844EF8"/>
    <w:rsid w:val="00897509"/>
    <w:rsid w:val="008A3952"/>
    <w:rsid w:val="00934E64"/>
    <w:rsid w:val="009416BE"/>
    <w:rsid w:val="009B3BE0"/>
    <w:rsid w:val="009C2EB2"/>
    <w:rsid w:val="009F469B"/>
    <w:rsid w:val="00A145EB"/>
    <w:rsid w:val="00AA0914"/>
    <w:rsid w:val="00AB31CA"/>
    <w:rsid w:val="00B0224B"/>
    <w:rsid w:val="00B14D8B"/>
    <w:rsid w:val="00B36C6A"/>
    <w:rsid w:val="00B66098"/>
    <w:rsid w:val="00B70496"/>
    <w:rsid w:val="00B81E37"/>
    <w:rsid w:val="00BF7431"/>
    <w:rsid w:val="00C010E7"/>
    <w:rsid w:val="00C05CEF"/>
    <w:rsid w:val="00C54576"/>
    <w:rsid w:val="00C56471"/>
    <w:rsid w:val="00DB20E2"/>
    <w:rsid w:val="00DC310A"/>
    <w:rsid w:val="00DE617A"/>
    <w:rsid w:val="00DF52D5"/>
    <w:rsid w:val="00E210FC"/>
    <w:rsid w:val="00E46BF9"/>
    <w:rsid w:val="00E47D34"/>
    <w:rsid w:val="00E503F2"/>
    <w:rsid w:val="00EA0176"/>
    <w:rsid w:val="00EB242D"/>
    <w:rsid w:val="00EC3280"/>
    <w:rsid w:val="00F20721"/>
    <w:rsid w:val="00F23119"/>
    <w:rsid w:val="00F73F4C"/>
    <w:rsid w:val="00F804C9"/>
    <w:rsid w:val="00FA29AE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rsid w:val="003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D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D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093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rsid w:val="003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D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D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09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igiv-rada.gov.ua/regulatorka/regulatorka-list/1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Наталія І. Железняк</cp:lastModifiedBy>
  <cp:revision>2</cp:revision>
  <cp:lastPrinted>2018-07-11T08:36:00Z</cp:lastPrinted>
  <dcterms:created xsi:type="dcterms:W3CDTF">2021-08-16T13:01:00Z</dcterms:created>
  <dcterms:modified xsi:type="dcterms:W3CDTF">2021-08-16T13:01:00Z</dcterms:modified>
</cp:coreProperties>
</file>