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____________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 2023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___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04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4"/>
        <w:gridCol w:w="2886"/>
        <w:gridCol w:w="6700"/>
      </w:tblGrid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Дєдіков Ігор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Загребельний Олександр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інспектор-ревізор комунального підприємства “Муніципальна варта” Чернігівської міської ради, секретар комісії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Гаценко Олег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Гурбик Роман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екології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LibreOffice/7.3.7.2$Linux_X86_64 LibreOffice_project/30$Build-2</Application>
  <AppVersion>15.0000</AppVersion>
  <Pages>2</Pages>
  <Words>170</Words>
  <Characters>1297</Characters>
  <CharactersWithSpaces>1507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2023-03-09T10:11:06Z</cp:lastPrinted>
  <dcterms:modified xsi:type="dcterms:W3CDTF">2023-12-14T09:24:38Z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