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30 жовтня</w:t>
      </w:r>
      <w:r>
        <w:rPr>
          <w:sz w:val="28"/>
          <w:szCs w:val="28"/>
        </w:rPr>
        <w:t xml:space="preserve">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2024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704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250"/>
        <w:gridCol w:w="2721"/>
        <w:gridCol w:w="2548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про власника/ користувача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(деревʼяний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паркан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Нафтовиків, поруч з будинком № 21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374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 Левка Лукʼяненка, поруч з будинком № 35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375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(обмежувач руху)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Незалежності, поруч з будинком № 82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377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Михайла Грушевського, поруч з будинком № 178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378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металевий контейнер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1-ої танкової бригади, поруч з будинком № 37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379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Незалежності</w:t>
            </w:r>
            <w:bookmarkStart w:id="0" w:name="_Hlk176765654"/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з будинком № 19</w:t>
            </w:r>
            <w:bookmarkEnd w:id="0"/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торговельний кіоск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Кириченко Михайло Михайлович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торговельний кіоск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Мурзина Валентина Михайлівна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торговельний кіоск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Мурзина Валентина Михайлівна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торговельний кіоск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Мурзина Валентина Михайлівна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літній майданчик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Мурзина Валентина Михайлівна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торговельний кіоск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торговельний кіоск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каркас для паркана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навіс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Преображенська, № 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 w:customStyle="1">
    <w:name w:val="Покажчик"/>
    <w:basedOn w:val="Normal"/>
    <w:qFormat/>
    <w:pPr>
      <w:suppressLineNumbers/>
    </w:pPr>
    <w:rPr/>
  </w:style>
  <w:style w:type="paragraph" w:styleId="Style22" w:customStyle="1">
    <w:name w:val="Указатель"/>
    <w:basedOn w:val="Normal"/>
    <w:qFormat/>
    <w:pPr>
      <w:suppressLineNumbers/>
    </w:pPr>
    <w:rPr/>
  </w:style>
  <w:style w:type="paragraph" w:styleId="Style23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5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Style2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LibreOffice/7.3.7.2$Linux_X86_64 LibreOffice_project/30$Build-2</Application>
  <AppVersion>15.0000</AppVersion>
  <Pages>3</Pages>
  <Words>522</Words>
  <Characters>3374</Characters>
  <CharactersWithSpaces>3869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2024-10-30T10:35:21Z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