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13" w:rsidRDefault="00502913" w:rsidP="00502913">
      <w:pPr>
        <w:shd w:val="clear" w:color="auto" w:fill="FFFFFF"/>
        <w:autoSpaceDE w:val="0"/>
        <w:autoSpaceDN w:val="0"/>
        <w:adjustRightInd w:val="0"/>
        <w:ind w:right="4315"/>
        <w:rPr>
          <w:lang w:val="en-US"/>
        </w:rPr>
      </w:pPr>
    </w:p>
    <w:p w:rsidR="00502913" w:rsidRDefault="00502913" w:rsidP="00502913">
      <w:pPr>
        <w:shd w:val="clear" w:color="auto" w:fill="FFFFFF"/>
        <w:autoSpaceDE w:val="0"/>
        <w:autoSpaceDN w:val="0"/>
        <w:adjustRightInd w:val="0"/>
        <w:ind w:right="4315"/>
        <w:rPr>
          <w:lang w:val="en-US"/>
        </w:rPr>
      </w:pPr>
    </w:p>
    <w:p w:rsidR="00502913" w:rsidRDefault="00502913" w:rsidP="00502913">
      <w:pPr>
        <w:shd w:val="clear" w:color="auto" w:fill="FFFFFF"/>
        <w:autoSpaceDE w:val="0"/>
        <w:autoSpaceDN w:val="0"/>
        <w:adjustRightInd w:val="0"/>
        <w:ind w:right="4315"/>
        <w:rPr>
          <w:lang w:val="en-US"/>
        </w:rPr>
      </w:pPr>
    </w:p>
    <w:p w:rsidR="00502913" w:rsidRDefault="00502913" w:rsidP="00502913">
      <w:pPr>
        <w:shd w:val="clear" w:color="auto" w:fill="FFFFFF"/>
        <w:autoSpaceDE w:val="0"/>
        <w:autoSpaceDN w:val="0"/>
        <w:adjustRightInd w:val="0"/>
        <w:ind w:right="4315"/>
        <w:rPr>
          <w:lang w:val="en-US"/>
        </w:rPr>
      </w:pPr>
    </w:p>
    <w:p w:rsidR="00502913" w:rsidRDefault="00502913" w:rsidP="00502913">
      <w:pPr>
        <w:shd w:val="clear" w:color="auto" w:fill="FFFFFF"/>
        <w:autoSpaceDE w:val="0"/>
        <w:autoSpaceDN w:val="0"/>
        <w:adjustRightInd w:val="0"/>
        <w:ind w:right="4315"/>
        <w:rPr>
          <w:lang w:val="en-US"/>
        </w:rPr>
      </w:pPr>
    </w:p>
    <w:p w:rsidR="00502913" w:rsidRDefault="00502913" w:rsidP="00502913">
      <w:pPr>
        <w:shd w:val="clear" w:color="auto" w:fill="FFFFFF"/>
        <w:autoSpaceDE w:val="0"/>
        <w:autoSpaceDN w:val="0"/>
        <w:adjustRightInd w:val="0"/>
        <w:ind w:right="4315"/>
        <w:rPr>
          <w:lang w:val="en-US"/>
        </w:rPr>
      </w:pPr>
    </w:p>
    <w:p w:rsidR="00502913" w:rsidRDefault="00502913" w:rsidP="00502913">
      <w:pPr>
        <w:shd w:val="clear" w:color="auto" w:fill="FFFFFF"/>
        <w:autoSpaceDE w:val="0"/>
        <w:autoSpaceDN w:val="0"/>
        <w:adjustRightInd w:val="0"/>
        <w:ind w:right="4315"/>
        <w:rPr>
          <w:lang w:val="en-US"/>
        </w:rPr>
      </w:pPr>
    </w:p>
    <w:p w:rsidR="00502913" w:rsidRDefault="00502913" w:rsidP="00502913">
      <w:pPr>
        <w:shd w:val="clear" w:color="auto" w:fill="FFFFFF"/>
        <w:autoSpaceDE w:val="0"/>
        <w:autoSpaceDN w:val="0"/>
        <w:adjustRightInd w:val="0"/>
        <w:ind w:right="4315"/>
        <w:rPr>
          <w:lang w:val="en-US"/>
        </w:rPr>
      </w:pPr>
    </w:p>
    <w:p w:rsidR="00502913" w:rsidRDefault="00502913" w:rsidP="00502913">
      <w:pPr>
        <w:shd w:val="clear" w:color="auto" w:fill="FFFFFF"/>
        <w:autoSpaceDE w:val="0"/>
        <w:autoSpaceDN w:val="0"/>
        <w:adjustRightInd w:val="0"/>
        <w:ind w:right="4315"/>
        <w:rPr>
          <w:lang w:val="en-US"/>
        </w:rPr>
      </w:pPr>
    </w:p>
    <w:p w:rsidR="00502913" w:rsidRDefault="00502913" w:rsidP="00502913">
      <w:pPr>
        <w:shd w:val="clear" w:color="auto" w:fill="FFFFFF"/>
        <w:autoSpaceDE w:val="0"/>
        <w:autoSpaceDN w:val="0"/>
        <w:adjustRightInd w:val="0"/>
        <w:ind w:right="4315"/>
        <w:rPr>
          <w:lang w:val="en-US"/>
        </w:rPr>
      </w:pPr>
    </w:p>
    <w:p w:rsidR="00502913" w:rsidRDefault="00502913" w:rsidP="00502913">
      <w:pPr>
        <w:shd w:val="clear" w:color="auto" w:fill="FFFFFF"/>
        <w:autoSpaceDE w:val="0"/>
        <w:autoSpaceDN w:val="0"/>
        <w:adjustRightInd w:val="0"/>
        <w:ind w:right="4315"/>
        <w:rPr>
          <w:lang w:val="en-US"/>
        </w:rPr>
      </w:pPr>
    </w:p>
    <w:p w:rsidR="00502913" w:rsidRDefault="00502913" w:rsidP="00502913">
      <w:pPr>
        <w:shd w:val="clear" w:color="auto" w:fill="FFFFFF"/>
        <w:autoSpaceDE w:val="0"/>
        <w:autoSpaceDN w:val="0"/>
        <w:adjustRightInd w:val="0"/>
        <w:ind w:right="4315"/>
        <w:rPr>
          <w:lang w:val="en-US"/>
        </w:rPr>
      </w:pPr>
    </w:p>
    <w:p w:rsidR="00502913" w:rsidRDefault="00502913" w:rsidP="00502913">
      <w:pPr>
        <w:shd w:val="clear" w:color="auto" w:fill="FFFFFF"/>
        <w:autoSpaceDE w:val="0"/>
        <w:autoSpaceDN w:val="0"/>
        <w:adjustRightInd w:val="0"/>
        <w:ind w:right="4315"/>
        <w:rPr>
          <w:lang w:val="en-US"/>
        </w:rPr>
      </w:pPr>
    </w:p>
    <w:p w:rsidR="00502913" w:rsidRDefault="00502913" w:rsidP="00502913">
      <w:pPr>
        <w:shd w:val="clear" w:color="auto" w:fill="FFFFFF"/>
        <w:autoSpaceDE w:val="0"/>
        <w:autoSpaceDN w:val="0"/>
        <w:adjustRightInd w:val="0"/>
        <w:ind w:right="4315"/>
        <w:rPr>
          <w:lang w:val="en-US"/>
        </w:rPr>
      </w:pPr>
    </w:p>
    <w:p w:rsidR="00502913" w:rsidRDefault="00502913" w:rsidP="00502913">
      <w:pPr>
        <w:shd w:val="clear" w:color="auto" w:fill="FFFFFF"/>
        <w:autoSpaceDE w:val="0"/>
        <w:autoSpaceDN w:val="0"/>
        <w:adjustRightInd w:val="0"/>
        <w:ind w:right="4315"/>
        <w:rPr>
          <w:lang w:val="en-US"/>
        </w:rPr>
      </w:pPr>
    </w:p>
    <w:p w:rsidR="00502913" w:rsidRDefault="00502913" w:rsidP="00502913">
      <w:pPr>
        <w:pStyle w:val="a3"/>
        <w:rPr>
          <w:lang w:val="uk-UA"/>
        </w:rPr>
      </w:pPr>
      <w:r>
        <w:rPr>
          <w:lang w:val="uk-UA"/>
        </w:rPr>
        <w:t>Про надання згоди на списання</w:t>
      </w:r>
    </w:p>
    <w:p w:rsidR="00502913" w:rsidRDefault="00502913" w:rsidP="00502913">
      <w:pPr>
        <w:pStyle w:val="a3"/>
        <w:rPr>
          <w:lang w:val="uk-UA"/>
        </w:rPr>
      </w:pPr>
      <w:r>
        <w:rPr>
          <w:lang w:val="uk-UA"/>
        </w:rPr>
        <w:t>основних засобів та передачу їх</w:t>
      </w:r>
    </w:p>
    <w:p w:rsidR="00502913" w:rsidRDefault="00502913" w:rsidP="00502913">
      <w:pPr>
        <w:pStyle w:val="a3"/>
        <w:rPr>
          <w:lang w:val="uk-UA"/>
        </w:rPr>
      </w:pPr>
      <w:r>
        <w:rPr>
          <w:lang w:val="uk-UA"/>
        </w:rPr>
        <w:t>на утилізацію</w:t>
      </w:r>
    </w:p>
    <w:p w:rsidR="00502913" w:rsidRDefault="00502913" w:rsidP="00502913">
      <w:pPr>
        <w:shd w:val="clear" w:color="auto" w:fill="FFFFFF"/>
        <w:autoSpaceDE w:val="0"/>
        <w:autoSpaceDN w:val="0"/>
        <w:adjustRightInd w:val="0"/>
        <w:ind w:right="4315"/>
        <w:rPr>
          <w:color w:val="000000"/>
          <w:sz w:val="28"/>
          <w:szCs w:val="28"/>
          <w:lang w:val="uk-UA"/>
        </w:rPr>
      </w:pPr>
    </w:p>
    <w:p w:rsidR="00502913" w:rsidRDefault="00502913" w:rsidP="00502913">
      <w:pPr>
        <w:shd w:val="clear" w:color="auto" w:fill="FFFFFF"/>
        <w:ind w:right="-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підпункту 1 пункту «а» статті 29 Закону України «Про місцеве самоврядування в Україні», керуючись Положенням про допризовну підготовку, затверджене постановою Кабінету Міністрів України від   30.11.2010 року  №1770 зі змінами, Інструкцією про порядок виготовлення, придбання, зберігання, обліку, перевезення та використання вогнепальної, пневматичної, холодної і охолощеної зброї, пристроїв вітчизняного виробництва для відстрілу патронів, споряджених гумовими чи аналогічними за своїми властивостями метальними снарядами несмертельної дії, та патронів до них, а також боєприпасів до зброї, основних частин зброї та вибухових матеріалів, затвердженою наказом Міністерства внутрішніх справ України від 21.08.1998 року №622 зі змінами,  Положенням про порядок відчуження, списання, передачі основних засобів, що є комунальною власністю територіальної громади міста Чернігова, затвердженого рішенням міської ради від 26 червня 2012 року (22 сесія 6 скликання) зі змінами та доповненнями, виконавчий комітет вирішив: </w:t>
      </w:r>
    </w:p>
    <w:p w:rsidR="00502913" w:rsidRDefault="00502913" w:rsidP="00502913">
      <w:pPr>
        <w:shd w:val="clear" w:color="auto" w:fill="FFFFFF"/>
        <w:ind w:right="-6" w:firstLine="708"/>
        <w:jc w:val="both"/>
        <w:rPr>
          <w:sz w:val="28"/>
          <w:szCs w:val="28"/>
          <w:lang w:val="uk-UA"/>
        </w:rPr>
      </w:pPr>
    </w:p>
    <w:p w:rsidR="00502913" w:rsidRDefault="00502913" w:rsidP="0050291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управлінню освіти Чернігівської міської ради (Білогура В.О.) згоду на списання основних засобів за переліком, згідно з додатком.</w:t>
      </w:r>
    </w:p>
    <w:p w:rsidR="00502913" w:rsidRDefault="00502913" w:rsidP="0050291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502913" w:rsidRDefault="00502913" w:rsidP="0050291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Управлінню освіти Чернігівської міської ради (Білогура В.О.):</w:t>
      </w:r>
    </w:p>
    <w:p w:rsidR="00502913" w:rsidRDefault="00502913" w:rsidP="00502913">
      <w:pPr>
        <w:ind w:firstLine="709"/>
        <w:jc w:val="both"/>
        <w:rPr>
          <w:sz w:val="28"/>
          <w:szCs w:val="28"/>
          <w:lang w:val="uk-UA"/>
        </w:rPr>
      </w:pPr>
    </w:p>
    <w:p w:rsidR="00502913" w:rsidRDefault="00502913" w:rsidP="0050291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Списання основних засобів здійснити відповідно до Положення про порядок відчуження, списання, передачі основних засобів, що є комунальною власністю територіальної громади міста Чернігова.</w:t>
      </w:r>
    </w:p>
    <w:p w:rsidR="00502913" w:rsidRDefault="00502913" w:rsidP="00502913">
      <w:pPr>
        <w:ind w:firstLine="709"/>
        <w:jc w:val="both"/>
        <w:rPr>
          <w:sz w:val="28"/>
          <w:szCs w:val="28"/>
          <w:lang w:val="uk-UA"/>
        </w:rPr>
      </w:pPr>
    </w:p>
    <w:p w:rsidR="00502913" w:rsidRDefault="00502913" w:rsidP="00502913">
      <w:pPr>
        <w:ind w:firstLine="709"/>
        <w:jc w:val="both"/>
        <w:rPr>
          <w:sz w:val="28"/>
          <w:szCs w:val="28"/>
          <w:lang w:val="uk-UA"/>
        </w:rPr>
      </w:pPr>
    </w:p>
    <w:p w:rsidR="00502913" w:rsidRDefault="00502913" w:rsidP="0050291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2.2. Передати списані основні засоби для утилізації до Чернігівського відділу поліції Головного управління національної поліції в Чернігівській області (Реберг В. К.). </w:t>
      </w:r>
    </w:p>
    <w:p w:rsidR="00502913" w:rsidRDefault="00502913" w:rsidP="00502913">
      <w:pPr>
        <w:ind w:firstLine="709"/>
        <w:jc w:val="both"/>
        <w:rPr>
          <w:sz w:val="28"/>
          <w:szCs w:val="28"/>
          <w:lang w:val="uk-UA"/>
        </w:rPr>
      </w:pPr>
    </w:p>
    <w:p w:rsidR="00502913" w:rsidRDefault="00502913" w:rsidP="0050291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Хоніч О. П.</w:t>
      </w:r>
    </w:p>
    <w:p w:rsidR="00502913" w:rsidRDefault="00502913" w:rsidP="00502913">
      <w:pPr>
        <w:shd w:val="clear" w:color="auto" w:fill="FFFFFF"/>
        <w:autoSpaceDE w:val="0"/>
        <w:autoSpaceDN w:val="0"/>
        <w:adjustRightInd w:val="0"/>
        <w:ind w:left="57" w:firstLine="902"/>
        <w:jc w:val="both"/>
        <w:rPr>
          <w:color w:val="000000"/>
          <w:sz w:val="28"/>
          <w:szCs w:val="28"/>
          <w:lang w:val="uk-UA"/>
        </w:rPr>
      </w:pPr>
    </w:p>
    <w:p w:rsidR="00502913" w:rsidRDefault="00502913" w:rsidP="00502913">
      <w:pPr>
        <w:shd w:val="clear" w:color="auto" w:fill="FFFFFF"/>
        <w:autoSpaceDE w:val="0"/>
        <w:autoSpaceDN w:val="0"/>
        <w:adjustRightInd w:val="0"/>
        <w:ind w:left="57" w:firstLine="902"/>
        <w:jc w:val="both"/>
        <w:rPr>
          <w:color w:val="000000"/>
          <w:sz w:val="28"/>
          <w:szCs w:val="28"/>
          <w:lang w:val="uk-UA"/>
        </w:rPr>
      </w:pPr>
    </w:p>
    <w:p w:rsidR="00502913" w:rsidRDefault="00502913" w:rsidP="00502913">
      <w:pPr>
        <w:shd w:val="clear" w:color="auto" w:fill="FFFFFF"/>
        <w:autoSpaceDE w:val="0"/>
        <w:autoSpaceDN w:val="0"/>
        <w:adjustRightInd w:val="0"/>
        <w:ind w:left="57" w:firstLine="902"/>
        <w:jc w:val="both"/>
        <w:rPr>
          <w:color w:val="000000"/>
          <w:sz w:val="28"/>
          <w:szCs w:val="28"/>
          <w:lang w:val="uk-UA"/>
        </w:rPr>
      </w:pPr>
    </w:p>
    <w:p w:rsidR="00502913" w:rsidRDefault="00502913" w:rsidP="0050291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В. А. Атрошенко  </w:t>
      </w:r>
    </w:p>
    <w:p w:rsidR="00502913" w:rsidRDefault="00502913" w:rsidP="0050291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502913" w:rsidRDefault="00502913" w:rsidP="0050291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502913" w:rsidRDefault="00502913" w:rsidP="00502913">
      <w:pPr>
        <w:rPr>
          <w:sz w:val="28"/>
          <w:lang w:val="uk-UA"/>
        </w:rPr>
      </w:pPr>
      <w:r>
        <w:rPr>
          <w:sz w:val="28"/>
          <w:lang w:val="uk-UA"/>
        </w:rPr>
        <w:t xml:space="preserve">Заступник міського голови – </w:t>
      </w:r>
    </w:p>
    <w:p w:rsidR="00502913" w:rsidRDefault="00502913" w:rsidP="00502913">
      <w:pPr>
        <w:rPr>
          <w:sz w:val="28"/>
          <w:lang w:val="uk-UA"/>
        </w:rPr>
      </w:pPr>
      <w:r>
        <w:rPr>
          <w:sz w:val="28"/>
          <w:lang w:val="uk-UA"/>
        </w:rPr>
        <w:t>керуючий справами виконкому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С. І. Фесенко</w:t>
      </w:r>
    </w:p>
    <w:p w:rsidR="00B95DA2" w:rsidRDefault="00B95DA2" w:rsidP="00502913">
      <w:pPr>
        <w:pStyle w:val="a3"/>
        <w:jc w:val="both"/>
      </w:pPr>
      <w:bookmarkStart w:id="0" w:name="_GoBack"/>
      <w:bookmarkEnd w:id="0"/>
    </w:p>
    <w:sectPr w:rsidR="00B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13"/>
    <w:rsid w:val="00502913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1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9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1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9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2018-06-25T13:32:00Z</dcterms:created>
  <dcterms:modified xsi:type="dcterms:W3CDTF">2018-06-25T13:33:00Z</dcterms:modified>
</cp:coreProperties>
</file>