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3C" w:rsidRPr="004B2E62" w:rsidRDefault="006C6C3C" w:rsidP="006C6C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4B2E62">
        <w:rPr>
          <w:rFonts w:ascii="Times New Roman" w:eastAsia="Times New Roman" w:hAnsi="Times New Roman"/>
          <w:sz w:val="28"/>
          <w:szCs w:val="20"/>
          <w:lang w:val="uk-UA" w:eastAsia="ru-RU"/>
        </w:rPr>
        <w:t>ПОЯСНЮВАЛЬНА  ЗАПИСКА</w:t>
      </w:r>
    </w:p>
    <w:p w:rsidR="006C6C3C" w:rsidRPr="004B2E62" w:rsidRDefault="006C6C3C" w:rsidP="006C6C3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до проє</w:t>
      </w:r>
      <w:r w:rsidRPr="004B2E6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кту рішення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Чернігівської міської ради </w:t>
      </w:r>
      <w:r w:rsidRPr="004B2E62">
        <w:rPr>
          <w:rFonts w:ascii="Times New Roman" w:eastAsia="Times New Roman" w:hAnsi="Times New Roman"/>
          <w:sz w:val="28"/>
          <w:szCs w:val="24"/>
          <w:lang w:val="uk-UA"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 затвердження</w:t>
      </w:r>
      <w:bookmarkStart w:id="0" w:name="_GoBack"/>
      <w:bookmarkEnd w:id="0"/>
      <w:r w:rsidRPr="004B2E6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Програми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«Молодь міста Чернігів»  на 2024-2026</w:t>
      </w:r>
      <w:r w:rsidRPr="004B2E6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роки</w:t>
      </w:r>
    </w:p>
    <w:p w:rsidR="006C6C3C" w:rsidRPr="004B2E62" w:rsidRDefault="006C6C3C" w:rsidP="006C6C3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6C6C3C" w:rsidRDefault="006C6C3C" w:rsidP="006C6C3C">
      <w:pPr>
        <w:pStyle w:val="a3"/>
        <w:spacing w:after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226132">
        <w:rPr>
          <w:sz w:val="28"/>
          <w:szCs w:val="28"/>
          <w:lang w:val="uk-UA"/>
        </w:rPr>
        <w:t xml:space="preserve"> м. Чернігові проживає </w:t>
      </w:r>
      <w:r w:rsidRPr="005F4FAC">
        <w:rPr>
          <w:sz w:val="28"/>
          <w:szCs w:val="28"/>
          <w:lang w:val="uk-UA"/>
        </w:rPr>
        <w:t xml:space="preserve">близько </w:t>
      </w:r>
      <w:r>
        <w:rPr>
          <w:color w:val="000000" w:themeColor="text1"/>
          <w:sz w:val="28"/>
          <w:szCs w:val="28"/>
          <w:lang w:val="uk-UA"/>
        </w:rPr>
        <w:t>65</w:t>
      </w:r>
      <w:r w:rsidRPr="00226132">
        <w:rPr>
          <w:sz w:val="28"/>
          <w:szCs w:val="28"/>
          <w:lang w:val="uk-UA"/>
        </w:rPr>
        <w:t xml:space="preserve"> тис. молодих людей у віці 14-35 років</w:t>
      </w:r>
      <w:r>
        <w:rPr>
          <w:sz w:val="28"/>
          <w:szCs w:val="28"/>
          <w:lang w:val="uk-UA"/>
        </w:rPr>
        <w:t>. Я</w:t>
      </w:r>
      <w:r w:rsidRPr="00226132">
        <w:rPr>
          <w:sz w:val="28"/>
          <w:szCs w:val="28"/>
          <w:lang w:val="uk-UA"/>
        </w:rPr>
        <w:t>к соціально-демографічна група</w:t>
      </w:r>
      <w:r>
        <w:rPr>
          <w:sz w:val="28"/>
          <w:szCs w:val="28"/>
          <w:lang w:val="uk-UA"/>
        </w:rPr>
        <w:t>, молодь</w:t>
      </w:r>
      <w:r w:rsidRPr="00226132">
        <w:rPr>
          <w:sz w:val="28"/>
          <w:szCs w:val="28"/>
          <w:lang w:val="uk-UA"/>
        </w:rPr>
        <w:t xml:space="preserve"> характеризується не лише  віковими ознаками, але й специфікою соціального становлення, особливим</w:t>
      </w:r>
      <w:r>
        <w:rPr>
          <w:sz w:val="28"/>
          <w:szCs w:val="28"/>
          <w:lang w:val="uk-UA"/>
        </w:rPr>
        <w:t xml:space="preserve"> місцем у структурі суспільства.</w:t>
      </w:r>
    </w:p>
    <w:p w:rsidR="006C6C3C" w:rsidRDefault="006C6C3C" w:rsidP="006C6C3C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4B2E62">
        <w:rPr>
          <w:rFonts w:ascii="Times New Roman" w:hAnsi="Times New Roman"/>
          <w:sz w:val="28"/>
          <w:szCs w:val="28"/>
          <w:lang w:val="uk-UA" w:eastAsia="ru-RU"/>
        </w:rPr>
        <w:t xml:space="preserve">Мета Програми </w:t>
      </w:r>
      <w:r>
        <w:rPr>
          <w:rFonts w:ascii="Times New Roman" w:hAnsi="Times New Roman"/>
          <w:sz w:val="28"/>
          <w:szCs w:val="28"/>
          <w:lang w:val="uk-UA" w:eastAsia="ru-RU"/>
        </w:rPr>
        <w:t>полягає у</w:t>
      </w:r>
      <w:r w:rsidRPr="00980747">
        <w:rPr>
          <w:sz w:val="28"/>
          <w:szCs w:val="28"/>
          <w:lang w:val="uk-UA"/>
        </w:rPr>
        <w:t xml:space="preserve"> </w:t>
      </w:r>
      <w:r w:rsidRPr="00776E78">
        <w:rPr>
          <w:rFonts w:ascii="Times New Roman" w:hAnsi="Times New Roman"/>
          <w:sz w:val="28"/>
          <w:szCs w:val="28"/>
          <w:lang w:val="uk-UA"/>
        </w:rPr>
        <w:t>створенні сприятливих соціальних передумов для формування громадянської активності молоді міста для життєвого самовизначення, самореалізації, розвитку потенціалу, активізації участі у суспільному жит</w:t>
      </w:r>
      <w:r>
        <w:rPr>
          <w:rFonts w:ascii="Times New Roman" w:hAnsi="Times New Roman"/>
          <w:sz w:val="28"/>
          <w:szCs w:val="28"/>
          <w:lang w:val="uk-UA"/>
        </w:rPr>
        <w:t>ті м. Чернігова, розвиток їх</w:t>
      </w:r>
      <w:r w:rsidRPr="00776E78">
        <w:rPr>
          <w:rFonts w:ascii="Times New Roman" w:hAnsi="Times New Roman"/>
          <w:sz w:val="28"/>
          <w:szCs w:val="28"/>
          <w:lang w:val="uk-UA"/>
        </w:rPr>
        <w:t xml:space="preserve"> громадянської та соціальної активності, а також  формування духовної культури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C6C3C" w:rsidRDefault="006C6C3C" w:rsidP="006C6C3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0B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Програма «Молодь міста Чернігів»  на 2021-2023 роки була прийнята у 2020 році, фінансування заходів для молоді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поступово зростає. </w:t>
      </w:r>
    </w:p>
    <w:p w:rsidR="006C6C3C" w:rsidRDefault="006C6C3C" w:rsidP="006C6C3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жаль, повномасштабна війна та часткова блокада міста Чернігова не дала можливості реалізувати усі заплановані заходи в рамках Програми у 2022 році. </w:t>
      </w:r>
    </w:p>
    <w:p w:rsidR="006C6C3C" w:rsidRPr="00824BBC" w:rsidRDefault="006C6C3C" w:rsidP="006C6C3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24BBC">
        <w:rPr>
          <w:rFonts w:ascii="Times New Roman" w:eastAsia="Times New Roman" w:hAnsi="Times New Roman"/>
          <w:sz w:val="28"/>
          <w:szCs w:val="28"/>
          <w:lang w:val="uk-UA" w:eastAsia="ru-RU"/>
        </w:rPr>
        <w:t>Активно реалізується молодіжна політика на регіональному та місцевому рівнях, розширюється участь молоді у процесах ухвалення рішень, утворені молодіжні центри різного рівня (в місті Чернігові функцію такого Центру виконує Відділ соціально-профілактичної роботи КЗ «ПНЗ «Центр роботи з дітьми та молоддю за місцем проживання), утворені та діють навіть під час військового стану два молодіжні консультативно-дорадчі органи, започатковано національний конкурс «Молодіжна столиця України» (місто Чернігів взяло в ньому участь та увійшло у десятку міст України з найкращою практикою роботи з молоддю), численні програми, конкурси і проекти для самореалізації та сталого розвитку молоді, виконується програма «Молодіжний працівник» (навчання за якою з відповідним отриманням сертифікату пройшли спеціалісти структурних підрозділів – учасників програми), здійснюється фінансова підтримка проектів молодіжних та дитячих громадських організацій, розвивається міжнародне молодіжне співробітництво та співпраця з міжнародними організаціями (зокрема, обміни молоддю між Україною і Республікою Польща, Україною і Литовською Республікою).</w:t>
      </w:r>
    </w:p>
    <w:p w:rsidR="006C6C3C" w:rsidRPr="00824BBC" w:rsidRDefault="006C6C3C" w:rsidP="006C6C3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24BBC">
        <w:rPr>
          <w:rFonts w:ascii="Times New Roman" w:eastAsia="Times New Roman" w:hAnsi="Times New Roman"/>
          <w:sz w:val="28"/>
          <w:szCs w:val="28"/>
          <w:lang w:val="uk-UA" w:eastAsia="ru-RU"/>
        </w:rPr>
        <w:t>За даними дослідження, яке включено до Національної молодіжної стратегії до 2030 року, на період початку військових дій 2022 року в Україні нараховувалося близько 10 млн людей віком від 14 до 35 років, дві третини з яких проживали у містах.</w:t>
      </w:r>
    </w:p>
    <w:p w:rsidR="006C6C3C" w:rsidRDefault="006C6C3C" w:rsidP="006C6C3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24B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Демографічні зміни поглиблюють дисбаланс між молодшою та старшою віковими групами. Різке зниження народжуваності наприкінці 80-х та у 90-і роки минулого століття буде проявлятися у наступних поколіннях. Як наслідок, за різними оцінками чисельність молоді у суспільстві зменшиться більше ніж удвічі до 5 млн осіб у 2030 році. Подібні структурні зміни стосуються також дитячого населення. Водночас відбудеться зростання чисельності літніх людей. Зменшення частки молоді може бути компенсовано лише збільшенням її </w:t>
      </w:r>
      <w:proofErr w:type="spellStart"/>
      <w:r w:rsidRPr="00824BBC">
        <w:rPr>
          <w:rFonts w:ascii="Times New Roman" w:eastAsia="Times New Roman" w:hAnsi="Times New Roman"/>
          <w:sz w:val="28"/>
          <w:szCs w:val="28"/>
          <w:lang w:val="uk-UA" w:eastAsia="ru-RU"/>
        </w:rPr>
        <w:t>спроможностей</w:t>
      </w:r>
      <w:proofErr w:type="spellEnd"/>
      <w:r w:rsidRPr="00824BB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6C6C3C" w:rsidRDefault="006C6C3C" w:rsidP="006C6C3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54C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 час </w:t>
      </w:r>
      <w:proofErr w:type="spellStart"/>
      <w:r w:rsidRPr="00E54C27">
        <w:rPr>
          <w:rFonts w:ascii="Times New Roman" w:eastAsia="Times New Roman" w:hAnsi="Times New Roman"/>
          <w:sz w:val="28"/>
          <w:szCs w:val="28"/>
          <w:lang w:val="uk-UA" w:eastAsia="ru-RU"/>
        </w:rPr>
        <w:t>війни</w:t>
      </w:r>
      <w:proofErr w:type="spellEnd"/>
      <w:r w:rsidRPr="00E54C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молоді люди опиняються в </w:t>
      </w:r>
      <w:proofErr w:type="spellStart"/>
      <w:r w:rsidRPr="00E54C27">
        <w:rPr>
          <w:rFonts w:ascii="Times New Roman" w:eastAsia="Times New Roman" w:hAnsi="Times New Roman"/>
          <w:sz w:val="28"/>
          <w:szCs w:val="28"/>
          <w:lang w:val="uk-UA" w:eastAsia="ru-RU"/>
        </w:rPr>
        <w:t>складніи</w:t>
      </w:r>
      <w:proofErr w:type="spellEnd"/>
      <w:r w:rsidRPr="00E54C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̆ </w:t>
      </w:r>
      <w:proofErr w:type="spellStart"/>
      <w:r w:rsidRPr="00E54C27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итуаціі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̈. Однак, попри труднощі</w:t>
      </w:r>
      <w:r w:rsidRPr="00E54C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вони </w:t>
      </w:r>
      <w:r w:rsidRPr="00E54C27">
        <w:rPr>
          <w:rFonts w:ascii="Times New Roman" w:eastAsia="Times New Roman" w:hAnsi="Times New Roman"/>
          <w:sz w:val="28"/>
          <w:szCs w:val="28"/>
          <w:lang w:val="uk-UA" w:eastAsia="ru-RU"/>
        </w:rPr>
        <w:t>продовжують прагнути 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 мирного та повноцінного життя.</w:t>
      </w:r>
      <w:r w:rsidRPr="00D82278">
        <w:t xml:space="preserve"> </w:t>
      </w:r>
      <w:r w:rsidRPr="00D82278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Стратегічно важливим залишається питання інтеграції, що набуває нового сенсу: особлива увагу та конкретні дії спрямовуються на можливість максимальної інтеграції молоді з числа внутрішньо переміщених осіб у 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ашу громаду</w:t>
      </w:r>
      <w:r w:rsidRPr="00D8227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сприяння у побудові нових соціальних </w:t>
      </w:r>
      <w:proofErr w:type="spellStart"/>
      <w:r w:rsidRPr="00D82278">
        <w:rPr>
          <w:rFonts w:ascii="Times New Roman" w:eastAsia="Times New Roman" w:hAnsi="Times New Roman"/>
          <w:sz w:val="28"/>
          <w:szCs w:val="28"/>
          <w:lang w:val="uk-UA" w:eastAsia="ru-RU"/>
        </w:rPr>
        <w:t>зв’язків</w:t>
      </w:r>
      <w:proofErr w:type="spellEnd"/>
      <w:r w:rsidRPr="00D8227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подальшого розвитку і життя.</w:t>
      </w:r>
    </w:p>
    <w:p w:rsidR="006C6C3C" w:rsidRDefault="006C6C3C" w:rsidP="006C6C3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5D59">
        <w:rPr>
          <w:rFonts w:ascii="Times New Roman" w:eastAsia="Times New Roman" w:hAnsi="Times New Roman"/>
          <w:sz w:val="28"/>
          <w:szCs w:val="28"/>
          <w:lang w:val="uk-UA" w:eastAsia="ru-RU"/>
        </w:rPr>
        <w:t>Важливим аспектом у роботі з молоддю є прийняття рішень за принципом «жодного рішення для молоді  без участі молоді»,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тому було </w:t>
      </w:r>
      <w:r w:rsidRPr="00CF5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систематизовано результати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думки</w:t>
      </w:r>
      <w:r w:rsidRPr="00CF5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молоді Чернігова  про стан молодіжного середовища по ключовим напрямкам національної молодіжної стратегії України (Безпека, Здоров’я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Спроможність, Інтегрованість). Важливим висновком є </w:t>
      </w:r>
      <w:r w:rsidRPr="00CF5D59">
        <w:rPr>
          <w:rFonts w:ascii="Times New Roman" w:eastAsia="Times New Roman" w:hAnsi="Times New Roman"/>
          <w:sz w:val="28"/>
          <w:szCs w:val="28"/>
          <w:lang w:val="uk-UA" w:eastAsia="ru-RU"/>
        </w:rPr>
        <w:t>зміцнення партнерства між органами місцевого самоврядування та інститутами громадянського суспільства, що працюют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ь з дітьми та молоддю, поширення</w:t>
      </w:r>
      <w:r w:rsidRPr="00CF5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інструментів участі молоді у прийнятті рішень, зокрема через розвиток молодіжних консультативно-дорадчих органів, органів учнівського та студентського самоврядування. Також необхідним є підвищення рівня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компетентносте</w:t>
      </w:r>
      <w:r w:rsidRPr="00CF5D59">
        <w:rPr>
          <w:rFonts w:ascii="Times New Roman" w:eastAsia="Times New Roman" w:hAnsi="Times New Roman"/>
          <w:sz w:val="28"/>
          <w:szCs w:val="28"/>
          <w:lang w:val="uk-UA" w:eastAsia="ru-RU"/>
        </w:rPr>
        <w:t>й</w:t>
      </w:r>
      <w:proofErr w:type="spellEnd"/>
      <w:r w:rsidRPr="00CF5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 молоді, так і фахівців, які працюють з дітьми та молоддю,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F5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тому числі молодіжних працівників, представників молодіжних центрів. Важливо розвивати мережу молодіжних центрів та інших інституцій, оскільки найефективніша робота проводиться саме через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установи, що працюють з молоддю. </w:t>
      </w:r>
    </w:p>
    <w:p w:rsidR="006C6C3C" w:rsidRDefault="006C6C3C" w:rsidP="006C6C3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Крім цього відбулись робочі зустрічі з молодіжними працівниками міста, педагогічним колективом КЗ «ПНЗ «Центр роботи з дітьми та молоддю за місцем проживання», членами молодіжних рад міста та учасниками волонтерського руху. Результат зустрічей – висновок, що молодь </w:t>
      </w:r>
      <w:r w:rsidRPr="00D8227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готова долучатися до процесу відновлення 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нашій громаді,</w:t>
      </w:r>
      <w:r w:rsidRPr="00D8227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високий рівень свідомості та відповідальності молодих людей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а також значний </w:t>
      </w:r>
      <w:r w:rsidRPr="00D8227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потенціал, який потрібно інтегрувати у всі сектори відновлення: безпеки, економіки,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освіти тощо. Адже молодь </w:t>
      </w:r>
      <w:r w:rsidRPr="00D82278">
        <w:rPr>
          <w:rFonts w:ascii="Times New Roman" w:eastAsia="Times New Roman" w:hAnsi="Times New Roman"/>
          <w:sz w:val="28"/>
          <w:szCs w:val="28"/>
          <w:lang w:val="uk-UA" w:eastAsia="ru-RU"/>
        </w:rPr>
        <w:t>пропон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ує </w:t>
      </w:r>
      <w:r w:rsidRPr="00D82278">
        <w:rPr>
          <w:rFonts w:ascii="Times New Roman" w:eastAsia="Times New Roman" w:hAnsi="Times New Roman"/>
          <w:sz w:val="28"/>
          <w:szCs w:val="28"/>
          <w:lang w:val="uk-UA" w:eastAsia="ru-RU"/>
        </w:rPr>
        <w:t>чіткі дієві мо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делі трансформації кожної сфери.</w:t>
      </w:r>
    </w:p>
    <w:p w:rsidR="006C6C3C" w:rsidRDefault="006C6C3C" w:rsidP="006C6C3C">
      <w:pPr>
        <w:tabs>
          <w:tab w:val="left" w:pos="993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08B4">
        <w:rPr>
          <w:rFonts w:ascii="Times New Roman" w:eastAsia="Times New Roman" w:hAnsi="Times New Roman"/>
          <w:sz w:val="28"/>
          <w:szCs w:val="28"/>
          <w:lang w:val="uk-UA" w:eastAsia="ru-RU"/>
        </w:rPr>
        <w:t>У результаті виконання програми очікується:</w:t>
      </w:r>
    </w:p>
    <w:p w:rsidR="006C6C3C" w:rsidRPr="003B0BD2" w:rsidRDefault="006C6C3C" w:rsidP="006C6C3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0BD2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3B0BD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забезпечення скоординованої діяльності органів місцевого самоврядування та консультативно-дорадчих органів з питань молодіжної політики та громадських об’єднань з питань реалізації молодіжної політики;</w:t>
      </w:r>
    </w:p>
    <w:p w:rsidR="006C6C3C" w:rsidRPr="003B0BD2" w:rsidRDefault="006C6C3C" w:rsidP="006C6C3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0BD2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3B0BD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забезпечення інтеграції молоді з числа внутрішньо 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</w:t>
      </w:r>
      <w:r w:rsidRPr="003B0BD2">
        <w:rPr>
          <w:rFonts w:ascii="Times New Roman" w:eastAsia="Times New Roman" w:hAnsi="Times New Roman"/>
          <w:sz w:val="28"/>
          <w:szCs w:val="28"/>
          <w:lang w:val="uk-UA" w:eastAsia="ru-RU"/>
        </w:rPr>
        <w:t>реміщених осіб;</w:t>
      </w:r>
    </w:p>
    <w:p w:rsidR="006C6C3C" w:rsidRPr="003B0BD2" w:rsidRDefault="006C6C3C" w:rsidP="006C6C3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0BD2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3B0BD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підвищення рівня доступу молоді міста до неформальної освіти;</w:t>
      </w:r>
    </w:p>
    <w:p w:rsidR="006C6C3C" w:rsidRPr="003B0BD2" w:rsidRDefault="006C6C3C" w:rsidP="006C6C3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0BD2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3B0BD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залучення молоді до розробки пропозицій щодо вдосконалення механізму реалізації державної молодіжної політики;</w:t>
      </w:r>
    </w:p>
    <w:p w:rsidR="006C6C3C" w:rsidRPr="003B0BD2" w:rsidRDefault="006C6C3C" w:rsidP="006C6C3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0BD2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3B0BD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забезпечення та функціонування молодіжної інфраструктури;</w:t>
      </w:r>
    </w:p>
    <w:p w:rsidR="006C6C3C" w:rsidRPr="003B0BD2" w:rsidRDefault="006C6C3C" w:rsidP="006C6C3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0BD2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3B0BD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залучення молоді до </w:t>
      </w:r>
      <w:proofErr w:type="spellStart"/>
      <w:r w:rsidRPr="003B0BD2">
        <w:rPr>
          <w:rFonts w:ascii="Times New Roman" w:eastAsia="Times New Roman" w:hAnsi="Times New Roman"/>
          <w:sz w:val="28"/>
          <w:szCs w:val="28"/>
          <w:lang w:val="uk-UA" w:eastAsia="ru-RU"/>
        </w:rPr>
        <w:t>волонтерства</w:t>
      </w:r>
      <w:proofErr w:type="spellEnd"/>
      <w:r w:rsidRPr="003B0BD2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6C6C3C" w:rsidRPr="003B0BD2" w:rsidRDefault="006C6C3C" w:rsidP="006C6C3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0BD2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3B0BD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розширення видів та форм соціальних послуг для молоді міста, що надаються громадськими організаціями, підвищення їх якості;</w:t>
      </w:r>
    </w:p>
    <w:p w:rsidR="006C6C3C" w:rsidRPr="003B0BD2" w:rsidRDefault="006C6C3C" w:rsidP="006C6C3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0BD2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3B0BD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формування високого рівня гуманістичного світогляду молоді міста на основі розвинутого почуття патріотизму, національної самосвідомості, духовно-моральних,  культурних,  загальнолюдських цінностей;</w:t>
      </w:r>
    </w:p>
    <w:p w:rsidR="006C6C3C" w:rsidRPr="003B0BD2" w:rsidRDefault="006C6C3C" w:rsidP="006C6C3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0BD2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3B0BD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поліпшення соціальної роботи з молоддю, зокрема, з молодими сім'ями, молодими інвалідами, сиротами та дітьми, позбавленими батьківського піклування, дітьми, схильних до бродяжництва та жебрацтва, з особами, що </w:t>
      </w:r>
      <w:r w:rsidRPr="003B0BD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повернулися з місць позбавлення волі, залучення до цієї роботи дитячих і молодіжних громадських організацій, волонтерів;</w:t>
      </w:r>
    </w:p>
    <w:p w:rsidR="006C6C3C" w:rsidRPr="003B0BD2" w:rsidRDefault="006C6C3C" w:rsidP="006C6C3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0BD2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3B0BD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створення сприятливих умов для формування свідомого ставлення молоді до збереження здоров’я, залучення молоді до популяризації та утвердження здорового і безпечного способу життя та культури здоров’я;</w:t>
      </w:r>
    </w:p>
    <w:p w:rsidR="006C6C3C" w:rsidRPr="003B0BD2" w:rsidRDefault="006C6C3C" w:rsidP="006C6C3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0BD2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3B0BD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активізація молодіжного руху, сприяння взаємодії органів місцевого самоврядування і громадськості у сфері молодіжної політики;</w:t>
      </w:r>
    </w:p>
    <w:p w:rsidR="006C6C3C" w:rsidRDefault="006C6C3C" w:rsidP="006C6C3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0BD2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3B0BD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удосконалення  виховної, соціально-профілактичної роботи з дітьми та молоддю та роботи з орга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нізації їх змістовного дозвілля.</w:t>
      </w:r>
      <w:bookmarkStart w:id="1" w:name="49"/>
      <w:bookmarkEnd w:id="1"/>
    </w:p>
    <w:p w:rsidR="006C6C3C" w:rsidRDefault="006C6C3C" w:rsidP="006C6C3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Програма  розрахована на 2024-2026  роки. </w:t>
      </w:r>
      <w:r w:rsidRPr="003A7113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Загальний обсяг фінансових ресурсів, нео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бхідних для реалізації Програми – 2194, 0 тис. грн.</w:t>
      </w:r>
    </w:p>
    <w:p w:rsidR="006C6C3C" w:rsidRPr="004E45CA" w:rsidRDefault="006C6C3C" w:rsidP="006C6C3C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4E45CA">
        <w:rPr>
          <w:rFonts w:ascii="Times New Roman" w:hAnsi="Times New Roman"/>
          <w:sz w:val="28"/>
          <w:szCs w:val="28"/>
          <w:lang w:val="uk-UA"/>
        </w:rPr>
        <w:t>Ресурсне забезпечення Програми ( тис. грн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1597"/>
        <w:gridCol w:w="1436"/>
        <w:gridCol w:w="1437"/>
        <w:gridCol w:w="1882"/>
      </w:tblGrid>
      <w:tr w:rsidR="006C6C3C" w:rsidRPr="004E45CA" w:rsidTr="000615B0">
        <w:trPr>
          <w:trHeight w:val="787"/>
        </w:trPr>
        <w:tc>
          <w:tcPr>
            <w:tcW w:w="3346" w:type="dxa"/>
          </w:tcPr>
          <w:p w:rsidR="006C6C3C" w:rsidRPr="004E45CA" w:rsidRDefault="006C6C3C" w:rsidP="000615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5CA">
              <w:rPr>
                <w:rFonts w:ascii="Times New Roman" w:hAnsi="Times New Roman"/>
                <w:sz w:val="28"/>
                <w:szCs w:val="28"/>
                <w:lang w:val="uk-UA"/>
              </w:rPr>
              <w:t>Обсяг коштів, які пропонується залучити до виконання Програми</w:t>
            </w:r>
          </w:p>
        </w:tc>
        <w:tc>
          <w:tcPr>
            <w:tcW w:w="1597" w:type="dxa"/>
          </w:tcPr>
          <w:p w:rsidR="006C6C3C" w:rsidRPr="004E45CA" w:rsidRDefault="006C6C3C" w:rsidP="000615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6" w:type="dxa"/>
          </w:tcPr>
          <w:p w:rsidR="006C6C3C" w:rsidRPr="004E45CA" w:rsidRDefault="006C6C3C" w:rsidP="000615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5CA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6C6C3C" w:rsidRPr="004E45CA" w:rsidRDefault="006C6C3C" w:rsidP="000615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5CA">
              <w:rPr>
                <w:rFonts w:ascii="Times New Roman" w:hAnsi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437" w:type="dxa"/>
          </w:tcPr>
          <w:p w:rsidR="006C6C3C" w:rsidRPr="004E45CA" w:rsidRDefault="006C6C3C" w:rsidP="000615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5CA">
              <w:rPr>
                <w:rFonts w:ascii="Times New Roman" w:hAnsi="Times New Roman"/>
                <w:sz w:val="28"/>
                <w:szCs w:val="28"/>
                <w:lang w:val="uk-UA"/>
              </w:rPr>
              <w:t>2025</w:t>
            </w:r>
          </w:p>
          <w:p w:rsidR="006C6C3C" w:rsidRPr="004E45CA" w:rsidRDefault="006C6C3C" w:rsidP="000615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5CA">
              <w:rPr>
                <w:rFonts w:ascii="Times New Roman" w:hAnsi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882" w:type="dxa"/>
          </w:tcPr>
          <w:p w:rsidR="006C6C3C" w:rsidRPr="004E45CA" w:rsidRDefault="006C6C3C" w:rsidP="000615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5CA">
              <w:rPr>
                <w:rFonts w:ascii="Times New Roman" w:hAnsi="Times New Roman"/>
                <w:sz w:val="28"/>
                <w:szCs w:val="28"/>
                <w:lang w:val="uk-UA"/>
              </w:rPr>
              <w:t>2026</w:t>
            </w:r>
          </w:p>
          <w:p w:rsidR="006C6C3C" w:rsidRPr="004E45CA" w:rsidRDefault="006C6C3C" w:rsidP="000615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5CA">
              <w:rPr>
                <w:rFonts w:ascii="Times New Roman" w:hAnsi="Times New Roman"/>
                <w:sz w:val="28"/>
                <w:szCs w:val="28"/>
                <w:lang w:val="uk-UA"/>
              </w:rPr>
              <w:t>рік</w:t>
            </w:r>
          </w:p>
        </w:tc>
      </w:tr>
      <w:tr w:rsidR="006C6C3C" w:rsidRPr="004E45CA" w:rsidTr="000615B0">
        <w:trPr>
          <w:trHeight w:val="534"/>
        </w:trPr>
        <w:tc>
          <w:tcPr>
            <w:tcW w:w="3346" w:type="dxa"/>
          </w:tcPr>
          <w:p w:rsidR="006C6C3C" w:rsidRPr="004E45CA" w:rsidRDefault="006C6C3C" w:rsidP="000615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5CA">
              <w:rPr>
                <w:rFonts w:ascii="Times New Roman" w:hAnsi="Times New Roman"/>
                <w:sz w:val="28"/>
                <w:szCs w:val="28"/>
                <w:lang w:val="uk-UA"/>
              </w:rPr>
              <w:t>Всього,</w:t>
            </w:r>
          </w:p>
          <w:p w:rsidR="006C6C3C" w:rsidRPr="004E45CA" w:rsidRDefault="006C6C3C" w:rsidP="000615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5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E45CA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4E45C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97" w:type="dxa"/>
          </w:tcPr>
          <w:p w:rsidR="006C6C3C" w:rsidRPr="004E45CA" w:rsidRDefault="006C6C3C" w:rsidP="000615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5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2194,0 </w:t>
            </w:r>
          </w:p>
        </w:tc>
        <w:tc>
          <w:tcPr>
            <w:tcW w:w="1436" w:type="dxa"/>
          </w:tcPr>
          <w:p w:rsidR="006C6C3C" w:rsidRPr="004E45CA" w:rsidRDefault="006C6C3C" w:rsidP="000615B0">
            <w:pPr>
              <w:rPr>
                <w:rFonts w:ascii="Times New Roman" w:hAnsi="Times New Roman"/>
                <w:sz w:val="28"/>
                <w:szCs w:val="28"/>
              </w:rPr>
            </w:pPr>
            <w:r w:rsidRPr="004E45CA">
              <w:rPr>
                <w:rFonts w:ascii="Times New Roman" w:hAnsi="Times New Roman"/>
                <w:sz w:val="28"/>
                <w:szCs w:val="28"/>
                <w:lang w:val="uk-UA"/>
              </w:rPr>
              <w:t>660</w:t>
            </w:r>
            <w:r w:rsidRPr="004E45CA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  <w:tc>
          <w:tcPr>
            <w:tcW w:w="1437" w:type="dxa"/>
          </w:tcPr>
          <w:p w:rsidR="006C6C3C" w:rsidRPr="004E45CA" w:rsidRDefault="006C6C3C" w:rsidP="000615B0">
            <w:pPr>
              <w:rPr>
                <w:rFonts w:ascii="Times New Roman" w:hAnsi="Times New Roman"/>
                <w:sz w:val="28"/>
                <w:szCs w:val="28"/>
              </w:rPr>
            </w:pPr>
            <w:r w:rsidRPr="004E45CA">
              <w:rPr>
                <w:rFonts w:ascii="Times New Roman" w:hAnsi="Times New Roman"/>
                <w:sz w:val="28"/>
                <w:szCs w:val="28"/>
                <w:lang w:val="uk-UA"/>
              </w:rPr>
              <w:t>730</w:t>
            </w:r>
            <w:r w:rsidRPr="004E45CA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  <w:tc>
          <w:tcPr>
            <w:tcW w:w="1882" w:type="dxa"/>
          </w:tcPr>
          <w:p w:rsidR="006C6C3C" w:rsidRPr="004E45CA" w:rsidRDefault="006C6C3C" w:rsidP="000615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5CA">
              <w:rPr>
                <w:rFonts w:ascii="Times New Roman" w:hAnsi="Times New Roman"/>
                <w:sz w:val="28"/>
                <w:szCs w:val="28"/>
                <w:lang w:val="uk-UA"/>
              </w:rPr>
              <w:t>804,0</w:t>
            </w:r>
          </w:p>
        </w:tc>
      </w:tr>
      <w:tr w:rsidR="006C6C3C" w:rsidRPr="004E45CA" w:rsidTr="000615B0">
        <w:trPr>
          <w:trHeight w:val="612"/>
        </w:trPr>
        <w:tc>
          <w:tcPr>
            <w:tcW w:w="3346" w:type="dxa"/>
          </w:tcPr>
          <w:p w:rsidR="006C6C3C" w:rsidRPr="004E45CA" w:rsidRDefault="006C6C3C" w:rsidP="000615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5CA">
              <w:rPr>
                <w:rFonts w:ascii="Times New Roman" w:hAnsi="Times New Roman"/>
                <w:sz w:val="28"/>
                <w:szCs w:val="28"/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597" w:type="dxa"/>
          </w:tcPr>
          <w:p w:rsidR="006C6C3C" w:rsidRPr="004E45CA" w:rsidRDefault="006C6C3C" w:rsidP="000615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5CA">
              <w:rPr>
                <w:rFonts w:ascii="Times New Roman" w:hAnsi="Times New Roman"/>
                <w:sz w:val="28"/>
                <w:szCs w:val="28"/>
                <w:lang w:val="uk-UA"/>
              </w:rPr>
              <w:t>2194,0</w:t>
            </w:r>
          </w:p>
        </w:tc>
        <w:tc>
          <w:tcPr>
            <w:tcW w:w="1436" w:type="dxa"/>
          </w:tcPr>
          <w:p w:rsidR="006C6C3C" w:rsidRPr="004E45CA" w:rsidRDefault="006C6C3C" w:rsidP="000615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5CA">
              <w:rPr>
                <w:rFonts w:ascii="Times New Roman" w:hAnsi="Times New Roman"/>
                <w:sz w:val="28"/>
                <w:szCs w:val="28"/>
                <w:lang w:val="uk-UA"/>
              </w:rPr>
              <w:t>660,0</w:t>
            </w:r>
          </w:p>
        </w:tc>
        <w:tc>
          <w:tcPr>
            <w:tcW w:w="1437" w:type="dxa"/>
          </w:tcPr>
          <w:p w:rsidR="006C6C3C" w:rsidRPr="004E45CA" w:rsidRDefault="006C6C3C" w:rsidP="000615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5CA">
              <w:rPr>
                <w:rFonts w:ascii="Times New Roman" w:hAnsi="Times New Roman"/>
                <w:sz w:val="28"/>
                <w:szCs w:val="28"/>
                <w:lang w:val="uk-UA"/>
              </w:rPr>
              <w:t>730,0</w:t>
            </w:r>
          </w:p>
        </w:tc>
        <w:tc>
          <w:tcPr>
            <w:tcW w:w="1882" w:type="dxa"/>
          </w:tcPr>
          <w:p w:rsidR="006C6C3C" w:rsidRPr="004E45CA" w:rsidRDefault="006C6C3C" w:rsidP="000615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5CA">
              <w:rPr>
                <w:rFonts w:ascii="Times New Roman" w:hAnsi="Times New Roman"/>
                <w:sz w:val="28"/>
                <w:szCs w:val="28"/>
                <w:lang w:val="uk-UA"/>
              </w:rPr>
              <w:t>804,0</w:t>
            </w:r>
          </w:p>
        </w:tc>
      </w:tr>
    </w:tbl>
    <w:p w:rsidR="006C6C3C" w:rsidRDefault="006C6C3C" w:rsidP="006C6C3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C6C3C" w:rsidRDefault="006C6C3C" w:rsidP="006C6C3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C6C3C" w:rsidRDefault="006C6C3C" w:rsidP="006C6C3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C6C3C" w:rsidRDefault="006C6C3C" w:rsidP="006C6C3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 н</w:t>
      </w:r>
      <w:r w:rsidRPr="002308B4">
        <w:rPr>
          <w:rFonts w:ascii="Times New Roman" w:eastAsia="Times New Roman" w:hAnsi="Times New Roman"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2308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управління</w:t>
      </w:r>
    </w:p>
    <w:p w:rsidR="006C6C3C" w:rsidRDefault="006C6C3C" w:rsidP="006C6C3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08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справах сім’ї, </w:t>
      </w:r>
      <w:r w:rsidRPr="009207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молоді </w:t>
      </w:r>
      <w:r w:rsidRPr="002308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спорту </w:t>
      </w:r>
    </w:p>
    <w:p w:rsidR="006C6C3C" w:rsidRPr="003A7113" w:rsidRDefault="006C6C3C" w:rsidP="006C6C3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2079F"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ради</w:t>
      </w:r>
      <w:r w:rsidRPr="002308B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308B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308B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Валерій СЕМЕНЕЦЬ</w:t>
      </w:r>
    </w:p>
    <w:p w:rsidR="00E3505B" w:rsidRDefault="00E3505B"/>
    <w:sectPr w:rsidR="00E3505B" w:rsidSect="002D0374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A0"/>
    <w:rsid w:val="005245A0"/>
    <w:rsid w:val="006C6C3C"/>
    <w:rsid w:val="00DC2637"/>
    <w:rsid w:val="00E3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3C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6C3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C6C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3C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6C3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C6C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1071</Words>
  <Characters>6108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OSSMS</dc:creator>
  <cp:keywords/>
  <dc:description/>
  <cp:lastModifiedBy>OSSMS</cp:lastModifiedBy>
  <cp:revision>2</cp:revision>
  <dcterms:created xsi:type="dcterms:W3CDTF">2023-07-06T09:23:00Z</dcterms:created>
  <dcterms:modified xsi:type="dcterms:W3CDTF">2023-07-06T09:27:00Z</dcterms:modified>
</cp:coreProperties>
</file>