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BD" w:rsidRDefault="00DB511F">
      <w:pPr>
        <w:pStyle w:val="a3"/>
        <w:ind w:left="499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46564" cy="4840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64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9BD" w:rsidRDefault="003D19BD">
      <w:pPr>
        <w:pStyle w:val="a3"/>
        <w:spacing w:before="7"/>
        <w:ind w:left="0"/>
        <w:rPr>
          <w:sz w:val="24"/>
        </w:rPr>
      </w:pPr>
    </w:p>
    <w:p w:rsidR="003D19BD" w:rsidRDefault="00DB511F">
      <w:pPr>
        <w:spacing w:before="90"/>
        <w:ind w:left="3047" w:right="3105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3D19BD" w:rsidRDefault="00DB511F">
      <w:pPr>
        <w:spacing w:before="60" w:line="285" w:lineRule="auto"/>
        <w:ind w:left="3047" w:right="3305"/>
        <w:jc w:val="center"/>
        <w:rPr>
          <w:b/>
          <w:sz w:val="28"/>
        </w:rPr>
      </w:pPr>
      <w:r>
        <w:rPr>
          <w:b/>
          <w:sz w:val="28"/>
        </w:rPr>
        <w:t xml:space="preserve">ЧЕРНІГІВСЬКА МІСЬКА РАДА Р І Ш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3D19BD" w:rsidRDefault="003D19BD">
      <w:pPr>
        <w:pStyle w:val="a3"/>
        <w:ind w:left="0"/>
        <w:rPr>
          <w:b/>
          <w:sz w:val="24"/>
        </w:rPr>
      </w:pPr>
    </w:p>
    <w:p w:rsidR="003D19BD" w:rsidRDefault="00DB511F">
      <w:pPr>
        <w:pStyle w:val="a3"/>
        <w:tabs>
          <w:tab w:val="left" w:pos="1799"/>
          <w:tab w:val="left" w:pos="3931"/>
          <w:tab w:val="left" w:pos="7486"/>
          <w:tab w:val="left" w:pos="9433"/>
        </w:tabs>
        <w:ind w:left="0" w:right="388"/>
        <w:jc w:val="center"/>
      </w:pPr>
      <w:r>
        <w:rPr>
          <w:u w:val="single"/>
        </w:rPr>
        <w:t xml:space="preserve">   </w:t>
      </w:r>
      <w:r>
        <w:rPr>
          <w:spacing w:val="-16"/>
          <w:u w:val="single"/>
        </w:rPr>
        <w:t xml:space="preserve"> </w:t>
      </w:r>
      <w:r>
        <w:rPr>
          <w:u w:val="single"/>
        </w:rPr>
        <w:t>21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березня</w:t>
      </w:r>
      <w:r>
        <w:rPr>
          <w:u w:val="single"/>
        </w:rPr>
        <w:tab/>
      </w:r>
      <w:r>
        <w:t>2019</w:t>
      </w:r>
      <w:r>
        <w:rPr>
          <w:spacing w:val="-1"/>
        </w:rPr>
        <w:t xml:space="preserve"> </w:t>
      </w:r>
      <w:r>
        <w:t>року</w:t>
      </w:r>
      <w:r>
        <w:tab/>
        <w:t>м. Чернігів</w:t>
      </w:r>
      <w:r>
        <w:tab/>
        <w:t>№ 40</w:t>
      </w:r>
      <w:r>
        <w:rPr>
          <w:u w:val="thick"/>
        </w:rPr>
        <w:t>/VII-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u w:val="thick"/>
        </w:rPr>
        <w:tab/>
      </w:r>
    </w:p>
    <w:p w:rsidR="003D19BD" w:rsidRDefault="003D19BD">
      <w:pPr>
        <w:pStyle w:val="a3"/>
        <w:spacing w:before="3"/>
        <w:ind w:left="0"/>
        <w:rPr>
          <w:sz w:val="21"/>
        </w:rPr>
      </w:pPr>
    </w:p>
    <w:p w:rsidR="003D19BD" w:rsidRDefault="00DB511F">
      <w:pPr>
        <w:pStyle w:val="a3"/>
        <w:spacing w:before="88"/>
        <w:ind w:right="3256"/>
        <w:jc w:val="both"/>
      </w:pPr>
      <w:r>
        <w:t xml:space="preserve">Про внесення змін і доповнень до рішення міської ради від 30 січня 2015 року </w:t>
      </w:r>
      <w:r>
        <w:rPr>
          <w:sz w:val="24"/>
        </w:rPr>
        <w:t>“</w:t>
      </w:r>
      <w:r>
        <w:t xml:space="preserve">Про місцеві податки” (47 сесія     6 скликання)  зі  змінами  і  доповненнями   (49   сесія,   53 сесія 6 скликання, № 3/VII-11, № 13/VII-20, № </w:t>
      </w:r>
      <w:r>
        <w:rPr>
          <w:spacing w:val="50"/>
        </w:rPr>
        <w:t xml:space="preserve"> </w:t>
      </w:r>
      <w:r>
        <w:t>14/VII-</w:t>
      </w:r>
    </w:p>
    <w:p w:rsidR="003D19BD" w:rsidRDefault="00DB511F">
      <w:pPr>
        <w:pStyle w:val="a3"/>
      </w:pPr>
      <w:r>
        <w:t>20,  № 16/VII-2,  № 19/VII-16,  № 25/VII-26,  №</w:t>
      </w:r>
      <w:r>
        <w:rPr>
          <w:spacing w:val="57"/>
        </w:rPr>
        <w:t xml:space="preserve"> </w:t>
      </w:r>
      <w:r>
        <w:t>26/VII-14,</w:t>
      </w:r>
    </w:p>
    <w:p w:rsidR="003D19BD" w:rsidRDefault="00DB511F">
      <w:pPr>
        <w:pStyle w:val="a3"/>
        <w:tabs>
          <w:tab w:val="left" w:pos="2135"/>
          <w:tab w:val="left" w:pos="2629"/>
          <w:tab w:val="left" w:pos="4046"/>
          <w:tab w:val="left" w:pos="5800"/>
        </w:tabs>
        <w:ind w:left="380"/>
      </w:pPr>
      <w:r>
        <w:t>№</w:t>
      </w:r>
      <w:r>
        <w:rPr>
          <w:spacing w:val="-1"/>
        </w:rPr>
        <w:t xml:space="preserve"> </w:t>
      </w:r>
      <w:r>
        <w:t>28/VII-21,</w:t>
      </w:r>
      <w:r>
        <w:tab/>
        <w:t>№</w:t>
      </w:r>
      <w:r>
        <w:tab/>
        <w:t>29/VII-19,</w:t>
      </w:r>
      <w:r>
        <w:tab/>
        <w:t>№</w:t>
      </w:r>
      <w:r>
        <w:rPr>
          <w:spacing w:val="-1"/>
        </w:rPr>
        <w:t xml:space="preserve"> </w:t>
      </w:r>
      <w:r>
        <w:t>35/VII-22,</w:t>
      </w:r>
      <w:r>
        <w:tab/>
        <w:t>№</w:t>
      </w:r>
      <w:r>
        <w:rPr>
          <w:spacing w:val="-7"/>
        </w:rPr>
        <w:t xml:space="preserve"> </w:t>
      </w:r>
      <w:r>
        <w:t>36/</w:t>
      </w:r>
      <w:r>
        <w:t>VII-30,</w:t>
      </w:r>
    </w:p>
    <w:p w:rsidR="003D19BD" w:rsidRDefault="00DB511F">
      <w:pPr>
        <w:pStyle w:val="a3"/>
        <w:ind w:left="380"/>
      </w:pPr>
      <w:r>
        <w:t>№ 38/VII-5)</w:t>
      </w:r>
    </w:p>
    <w:p w:rsidR="003D19BD" w:rsidRDefault="00DB511F">
      <w:pPr>
        <w:pStyle w:val="a3"/>
        <w:spacing w:before="120"/>
        <w:ind w:left="380" w:right="848" w:firstLine="720"/>
        <w:jc w:val="both"/>
      </w:pPr>
      <w:r>
        <w:t>Керуючись пунктом 24 частини першої статті 26 Закону України “Про місцеве самоврядування в Україні”, на підставі норм Податкового кодексу України з урахуванням норм Закону України від 23.11.2018 №2628-VIII “Про внесення змін до Податков</w:t>
      </w:r>
      <w:r>
        <w:t>ого кодексу України та деяких інших законодавчих актів України щодо покращення адміністрування та перегляду ставок окремих податків і зборів”, міська рада</w:t>
      </w:r>
      <w:r>
        <w:rPr>
          <w:spacing w:val="-3"/>
        </w:rPr>
        <w:t xml:space="preserve"> </w:t>
      </w:r>
      <w:r>
        <w:t>вирішила:</w:t>
      </w:r>
    </w:p>
    <w:p w:rsidR="003D19BD" w:rsidRDefault="00DB511F">
      <w:pPr>
        <w:pStyle w:val="a4"/>
        <w:numPr>
          <w:ilvl w:val="0"/>
          <w:numId w:val="1"/>
        </w:numPr>
        <w:tabs>
          <w:tab w:val="left" w:pos="1445"/>
        </w:tabs>
        <w:spacing w:before="240"/>
        <w:ind w:right="849" w:firstLine="720"/>
        <w:jc w:val="both"/>
        <w:rPr>
          <w:sz w:val="28"/>
        </w:rPr>
      </w:pPr>
      <w:r>
        <w:rPr>
          <w:sz w:val="28"/>
        </w:rPr>
        <w:t xml:space="preserve">Внести наступні зміни і доповнення до рішення міської ради від     30 січня 2015 року “Про місцеві податки” (47 сесія 6 скликання) зі змінами і доповненнями   (49 сесія,   53 сесія   6 скликання,   № 3/VII-11,   № </w:t>
      </w:r>
      <w:r>
        <w:rPr>
          <w:spacing w:val="35"/>
          <w:sz w:val="28"/>
        </w:rPr>
        <w:t xml:space="preserve"> </w:t>
      </w:r>
      <w:r>
        <w:rPr>
          <w:sz w:val="28"/>
        </w:rPr>
        <w:t>13/VII-20,</w:t>
      </w:r>
    </w:p>
    <w:p w:rsidR="003D19BD" w:rsidRDefault="00DB511F">
      <w:pPr>
        <w:pStyle w:val="a3"/>
      </w:pPr>
      <w:r>
        <w:t>№ 14/VII-20,  № 16/VII-2,  19/</w:t>
      </w:r>
      <w:r>
        <w:t>VII-16,  № 25/VII-26,  № 26/VII-14,  № 28/VII-21,</w:t>
      </w:r>
    </w:p>
    <w:p w:rsidR="003D19BD" w:rsidRDefault="00DB511F">
      <w:pPr>
        <w:pStyle w:val="a3"/>
      </w:pPr>
      <w:r>
        <w:t>№ 29/VII-19, № 35/VII-22, № 36/VII-30, № 38/VII-5):</w:t>
      </w:r>
    </w:p>
    <w:p w:rsidR="003D19BD" w:rsidRDefault="00DB511F">
      <w:pPr>
        <w:pStyle w:val="a4"/>
        <w:numPr>
          <w:ilvl w:val="1"/>
          <w:numId w:val="1"/>
        </w:numPr>
        <w:tabs>
          <w:tab w:val="left" w:pos="1623"/>
        </w:tabs>
        <w:ind w:firstLine="720"/>
        <w:rPr>
          <w:sz w:val="28"/>
        </w:rPr>
      </w:pPr>
      <w:r>
        <w:rPr>
          <w:sz w:val="28"/>
        </w:rPr>
        <w:t>Абзац</w:t>
      </w:r>
      <w:r>
        <w:rPr>
          <w:spacing w:val="30"/>
          <w:sz w:val="28"/>
        </w:rPr>
        <w:t xml:space="preserve"> </w:t>
      </w:r>
      <w:r>
        <w:rPr>
          <w:sz w:val="28"/>
        </w:rPr>
        <w:t>третій</w:t>
      </w:r>
      <w:r>
        <w:rPr>
          <w:spacing w:val="28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28"/>
          <w:sz w:val="28"/>
        </w:rPr>
        <w:t xml:space="preserve"> </w:t>
      </w:r>
      <w:r>
        <w:rPr>
          <w:sz w:val="28"/>
        </w:rPr>
        <w:t>5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28"/>
          <w:sz w:val="28"/>
        </w:rPr>
        <w:t xml:space="preserve"> </w:t>
      </w:r>
      <w:r>
        <w:rPr>
          <w:sz w:val="28"/>
        </w:rPr>
        <w:t>про</w:t>
      </w:r>
      <w:r>
        <w:rPr>
          <w:spacing w:val="28"/>
          <w:sz w:val="28"/>
        </w:rPr>
        <w:t xml:space="preserve"> </w:t>
      </w:r>
      <w:r>
        <w:rPr>
          <w:sz w:val="28"/>
        </w:rPr>
        <w:t>плату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землю</w:t>
      </w:r>
      <w:r>
        <w:rPr>
          <w:spacing w:val="28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28"/>
          <w:sz w:val="28"/>
        </w:rPr>
        <w:t xml:space="preserve"> </w:t>
      </w:r>
      <w:r>
        <w:rPr>
          <w:sz w:val="28"/>
        </w:rPr>
        <w:t>4</w:t>
      </w:r>
    </w:p>
    <w:p w:rsidR="003D19BD" w:rsidRDefault="00DB511F">
      <w:pPr>
        <w:pStyle w:val="a3"/>
      </w:pPr>
      <w:r>
        <w:t>до рішення) викласти у такій редакції:</w:t>
      </w:r>
    </w:p>
    <w:p w:rsidR="003D19BD" w:rsidRDefault="00DB511F">
      <w:pPr>
        <w:pStyle w:val="a3"/>
        <w:spacing w:before="120"/>
        <w:ind w:right="808" w:firstLine="720"/>
        <w:jc w:val="both"/>
      </w:pPr>
      <w:r>
        <w:t xml:space="preserve">“Ставка земельного податку за земельні ділянки, нормативну грошову оцінку яких проведено (незалежно від місцезнаходження), якщо у відомостях Державного земельного кадастру відсутній код </w:t>
      </w:r>
      <w:hyperlink r:id="rId7" w:anchor="n17">
        <w:r>
          <w:t>Класифікації видів цільового</w:t>
        </w:r>
      </w:hyperlink>
      <w:r>
        <w:t xml:space="preserve"> </w:t>
      </w:r>
      <w:hyperlink r:id="rId8" w:anchor="n17">
        <w:r>
          <w:t>призначення земель</w:t>
        </w:r>
      </w:hyperlink>
      <w:r>
        <w:t>, для суб’єктів господарювання (крім суб’єктів господарювання державної та комунальної форм власності) встановлюється</w:t>
      </w:r>
      <w:r>
        <w:t xml:space="preserve"> на рівні 3 відсотків нормативної грошової оцінки.”;</w:t>
      </w:r>
    </w:p>
    <w:p w:rsidR="003D19BD" w:rsidRDefault="00DB511F">
      <w:pPr>
        <w:pStyle w:val="a4"/>
        <w:numPr>
          <w:ilvl w:val="1"/>
          <w:numId w:val="1"/>
        </w:numPr>
        <w:tabs>
          <w:tab w:val="left" w:pos="1606"/>
        </w:tabs>
        <w:ind w:left="1605" w:hanging="504"/>
        <w:rPr>
          <w:sz w:val="28"/>
        </w:rPr>
      </w:pPr>
      <w:r>
        <w:rPr>
          <w:sz w:val="28"/>
        </w:rPr>
        <w:t>Абзац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1"/>
          <w:sz w:val="28"/>
        </w:rPr>
        <w:t xml:space="preserve"> </w:t>
      </w:r>
      <w:r>
        <w:rPr>
          <w:sz w:val="28"/>
        </w:rPr>
        <w:t>13.5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2"/>
          <w:sz w:val="28"/>
        </w:rPr>
        <w:t xml:space="preserve"> </w:t>
      </w: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1"/>
          <w:sz w:val="28"/>
        </w:rPr>
        <w:t xml:space="preserve"> </w:t>
      </w:r>
      <w:r>
        <w:rPr>
          <w:sz w:val="28"/>
        </w:rPr>
        <w:t>(додаток</w:t>
      </w:r>
    </w:p>
    <w:p w:rsidR="003D19BD" w:rsidRDefault="00DB511F">
      <w:pPr>
        <w:pStyle w:val="a3"/>
      </w:pPr>
      <w:r>
        <w:t>4 до рішення) викласти у такій редакції:</w:t>
      </w:r>
    </w:p>
    <w:p w:rsidR="003D19BD" w:rsidRDefault="00DB511F">
      <w:pPr>
        <w:pStyle w:val="a3"/>
        <w:spacing w:before="120"/>
        <w:ind w:right="809" w:firstLine="720"/>
        <w:jc w:val="both"/>
      </w:pPr>
      <w:bookmarkStart w:id="0" w:name="_GoBack"/>
      <w:bookmarkEnd w:id="0"/>
      <w:r>
        <w:t>“Розмір орендної плати за земельні ділянки, нормативну грошову оцінку яких проведено (незалежно ві</w:t>
      </w:r>
      <w:r>
        <w:t>д місцезнаходження), якщо у відомостях Державного</w:t>
      </w:r>
      <w:r>
        <w:rPr>
          <w:spacing w:val="17"/>
        </w:rPr>
        <w:t xml:space="preserve"> </w:t>
      </w:r>
      <w:r>
        <w:t>земельного</w:t>
      </w:r>
      <w:r>
        <w:rPr>
          <w:spacing w:val="17"/>
        </w:rPr>
        <w:t xml:space="preserve"> </w:t>
      </w:r>
      <w:r>
        <w:t>кадастру</w:t>
      </w:r>
      <w:r>
        <w:rPr>
          <w:spacing w:val="17"/>
        </w:rPr>
        <w:t xml:space="preserve"> </w:t>
      </w:r>
      <w:r>
        <w:t>відсутній</w:t>
      </w:r>
      <w:r>
        <w:rPr>
          <w:spacing w:val="17"/>
        </w:rPr>
        <w:t xml:space="preserve"> </w:t>
      </w:r>
      <w:r>
        <w:t>код</w:t>
      </w:r>
      <w:r>
        <w:rPr>
          <w:spacing w:val="17"/>
        </w:rPr>
        <w:t xml:space="preserve"> </w:t>
      </w:r>
      <w:hyperlink r:id="rId9" w:anchor="n17">
        <w:r>
          <w:t>Класифікації</w:t>
        </w:r>
        <w:r>
          <w:rPr>
            <w:spacing w:val="17"/>
          </w:rPr>
          <w:t xml:space="preserve"> </w:t>
        </w:r>
        <w:r>
          <w:t>видів</w:t>
        </w:r>
        <w:r>
          <w:rPr>
            <w:spacing w:val="17"/>
          </w:rPr>
          <w:t xml:space="preserve"> </w:t>
        </w:r>
        <w:r>
          <w:t>цільового</w:t>
        </w:r>
      </w:hyperlink>
    </w:p>
    <w:p w:rsidR="003D19BD" w:rsidRDefault="003D19BD">
      <w:pPr>
        <w:pStyle w:val="a3"/>
        <w:spacing w:before="4"/>
        <w:ind w:left="0"/>
        <w:rPr>
          <w:sz w:val="18"/>
        </w:rPr>
      </w:pPr>
    </w:p>
    <w:p w:rsidR="003D19BD" w:rsidRDefault="003D19BD">
      <w:pPr>
        <w:rPr>
          <w:sz w:val="18"/>
        </w:rPr>
        <w:sectPr w:rsidR="003D19BD">
          <w:type w:val="continuous"/>
          <w:pgSz w:w="11910" w:h="16840"/>
          <w:pgMar w:top="1460" w:right="0" w:bottom="0" w:left="1320" w:header="720" w:footer="720" w:gutter="0"/>
          <w:cols w:space="720"/>
        </w:sectPr>
      </w:pPr>
    </w:p>
    <w:p w:rsidR="003D19BD" w:rsidRDefault="00DB511F">
      <w:pPr>
        <w:spacing w:before="75"/>
        <w:ind w:left="5140"/>
        <w:rPr>
          <w:sz w:val="24"/>
        </w:rPr>
      </w:pPr>
      <w:r>
        <w:rPr>
          <w:sz w:val="24"/>
        </w:rPr>
        <w:lastRenderedPageBreak/>
        <w:t>2</w:t>
      </w:r>
    </w:p>
    <w:p w:rsidR="003D19BD" w:rsidRDefault="003D19BD">
      <w:pPr>
        <w:pStyle w:val="a3"/>
        <w:spacing w:before="6"/>
        <w:ind w:left="0"/>
        <w:rPr>
          <w:sz w:val="26"/>
        </w:rPr>
      </w:pPr>
    </w:p>
    <w:p w:rsidR="003D19BD" w:rsidRDefault="00DB511F">
      <w:pPr>
        <w:pStyle w:val="a3"/>
        <w:tabs>
          <w:tab w:val="left" w:pos="2116"/>
          <w:tab w:val="left" w:pos="3207"/>
          <w:tab w:val="left" w:pos="5322"/>
          <w:tab w:val="left" w:pos="5814"/>
          <w:tab w:val="left" w:pos="6609"/>
          <w:tab w:val="left" w:pos="6967"/>
          <w:tab w:val="left" w:pos="8270"/>
        </w:tabs>
        <w:ind w:right="810"/>
      </w:pPr>
      <w:hyperlink r:id="rId10" w:anchor="n17">
        <w:r>
          <w:t>призначення</w:t>
        </w:r>
        <w:r>
          <w:tab/>
          <w:t>земель</w:t>
        </w:r>
      </w:hyperlink>
      <w:r>
        <w:t>,</w:t>
      </w:r>
      <w:r>
        <w:tab/>
        <w:t>встановлюється</w:t>
      </w:r>
      <w:r>
        <w:tab/>
        <w:t>на</w:t>
      </w:r>
      <w:r>
        <w:tab/>
        <w:t>рівні</w:t>
      </w:r>
      <w:r>
        <w:tab/>
        <w:t>3</w:t>
      </w:r>
      <w:r>
        <w:tab/>
        <w:t>відсотків</w:t>
      </w:r>
      <w:r>
        <w:tab/>
        <w:t>нормативної грошової</w:t>
      </w:r>
      <w:r>
        <w:rPr>
          <w:spacing w:val="-2"/>
        </w:rPr>
        <w:t xml:space="preserve"> </w:t>
      </w:r>
      <w:r>
        <w:t>оцінки.”;</w:t>
      </w:r>
    </w:p>
    <w:p w:rsidR="003D19BD" w:rsidRDefault="00DB511F">
      <w:pPr>
        <w:pStyle w:val="a4"/>
        <w:numPr>
          <w:ilvl w:val="1"/>
          <w:numId w:val="1"/>
        </w:numPr>
        <w:tabs>
          <w:tab w:val="left" w:pos="1641"/>
        </w:tabs>
        <w:ind w:right="809" w:firstLine="720"/>
        <w:jc w:val="both"/>
        <w:rPr>
          <w:sz w:val="28"/>
        </w:rPr>
      </w:pPr>
      <w:r>
        <w:rPr>
          <w:sz w:val="28"/>
        </w:rPr>
        <w:t>Абзац 1 підрозділу 03.07 розділу 03 пункту 13.5 Положення про плату за землю (додаток 4 до рішення) викласти у такій</w:t>
      </w:r>
      <w:r>
        <w:rPr>
          <w:spacing w:val="-12"/>
          <w:sz w:val="28"/>
        </w:rPr>
        <w:t xml:space="preserve"> </w:t>
      </w:r>
      <w:r>
        <w:rPr>
          <w:sz w:val="28"/>
        </w:rPr>
        <w:t>редакції:</w:t>
      </w:r>
    </w:p>
    <w:p w:rsidR="003D19BD" w:rsidRDefault="003D19BD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4503"/>
        <w:gridCol w:w="567"/>
        <w:gridCol w:w="2160"/>
      </w:tblGrid>
      <w:tr w:rsidR="003D19BD">
        <w:trPr>
          <w:trHeight w:val="395"/>
        </w:trPr>
        <w:tc>
          <w:tcPr>
            <w:tcW w:w="2268" w:type="dxa"/>
            <w:gridSpan w:val="2"/>
          </w:tcPr>
          <w:p w:rsidR="003D19BD" w:rsidRDefault="00DB511F">
            <w:pPr>
              <w:pStyle w:val="TableParagraph"/>
              <w:spacing w:before="120"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Код КВЦПЗ</w:t>
            </w:r>
          </w:p>
        </w:tc>
        <w:tc>
          <w:tcPr>
            <w:tcW w:w="4503" w:type="dxa"/>
            <w:vMerge w:val="restart"/>
          </w:tcPr>
          <w:p w:rsidR="003D19BD" w:rsidRDefault="00DB511F">
            <w:pPr>
              <w:pStyle w:val="TableParagraph"/>
              <w:spacing w:before="120"/>
              <w:ind w:left="1361"/>
              <w:rPr>
                <w:sz w:val="24"/>
              </w:rPr>
            </w:pPr>
            <w:r>
              <w:rPr>
                <w:sz w:val="24"/>
              </w:rPr>
              <w:t>Земельна ділянка</w:t>
            </w:r>
          </w:p>
        </w:tc>
        <w:tc>
          <w:tcPr>
            <w:tcW w:w="567" w:type="dxa"/>
            <w:vMerge w:val="restart"/>
          </w:tcPr>
          <w:p w:rsidR="003D19BD" w:rsidRDefault="00DB511F">
            <w:pPr>
              <w:pStyle w:val="TableParagraph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Кф</w:t>
            </w:r>
            <w:proofErr w:type="spellEnd"/>
          </w:p>
        </w:tc>
        <w:tc>
          <w:tcPr>
            <w:tcW w:w="2160" w:type="dxa"/>
            <w:vMerge w:val="restart"/>
          </w:tcPr>
          <w:p w:rsidR="003D19BD" w:rsidRDefault="00DB511F">
            <w:pPr>
              <w:pStyle w:val="TableParagraph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Розмір орендної плати за земельні ділянки,</w:t>
            </w:r>
          </w:p>
          <w:p w:rsidR="003D19BD" w:rsidRDefault="00DB511F">
            <w:pPr>
              <w:pStyle w:val="TableParagraph"/>
              <w:spacing w:line="270" w:lineRule="atLeast"/>
              <w:ind w:left="234" w:right="222" w:hanging="1"/>
              <w:jc w:val="center"/>
              <w:rPr>
                <w:sz w:val="24"/>
              </w:rPr>
            </w:pPr>
            <w:r>
              <w:rPr>
                <w:sz w:val="24"/>
              </w:rPr>
              <w:t>% нормативної грошової оцінки</w:t>
            </w:r>
          </w:p>
        </w:tc>
      </w:tr>
      <w:tr w:rsidR="003D19BD">
        <w:trPr>
          <w:trHeight w:val="973"/>
        </w:trPr>
        <w:tc>
          <w:tcPr>
            <w:tcW w:w="1188" w:type="dxa"/>
          </w:tcPr>
          <w:p w:rsidR="003D19BD" w:rsidRDefault="00DB511F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розділ</w:t>
            </w:r>
          </w:p>
        </w:tc>
        <w:tc>
          <w:tcPr>
            <w:tcW w:w="1080" w:type="dxa"/>
          </w:tcPr>
          <w:p w:rsidR="003D19BD" w:rsidRDefault="00DB511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підрозділ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3D19BD" w:rsidRDefault="003D19B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19BD" w:rsidRDefault="003D19B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D19BD" w:rsidRDefault="003D19BD">
            <w:pPr>
              <w:rPr>
                <w:sz w:val="2"/>
                <w:szCs w:val="2"/>
              </w:rPr>
            </w:pPr>
          </w:p>
        </w:tc>
      </w:tr>
      <w:tr w:rsidR="003D19BD">
        <w:trPr>
          <w:trHeight w:val="395"/>
        </w:trPr>
        <w:tc>
          <w:tcPr>
            <w:tcW w:w="1188" w:type="dxa"/>
          </w:tcPr>
          <w:p w:rsidR="003D19BD" w:rsidRDefault="00DB511F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10" w:type="dxa"/>
            <w:gridSpan w:val="4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</w:tr>
      <w:tr w:rsidR="003D19BD">
        <w:trPr>
          <w:trHeight w:val="395"/>
        </w:trPr>
        <w:tc>
          <w:tcPr>
            <w:tcW w:w="1188" w:type="dxa"/>
          </w:tcPr>
          <w:p w:rsidR="003D19BD" w:rsidRDefault="00DB511F">
            <w:pPr>
              <w:pStyle w:val="TableParagraph"/>
              <w:spacing w:before="120" w:line="256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310" w:type="dxa"/>
            <w:gridSpan w:val="4"/>
          </w:tcPr>
          <w:p w:rsidR="003D19BD" w:rsidRDefault="00DB511F">
            <w:pPr>
              <w:pStyle w:val="TableParagraph"/>
              <w:spacing w:before="12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Землі громадської забудови</w:t>
            </w:r>
          </w:p>
        </w:tc>
      </w:tr>
      <w:tr w:rsidR="003D19BD">
        <w:trPr>
          <w:trHeight w:val="395"/>
        </w:trPr>
        <w:tc>
          <w:tcPr>
            <w:tcW w:w="1188" w:type="dxa"/>
            <w:vMerge w:val="restart"/>
          </w:tcPr>
          <w:p w:rsidR="003D19BD" w:rsidRDefault="00DB511F">
            <w:pPr>
              <w:pStyle w:val="TableParagraph"/>
              <w:spacing w:before="120"/>
              <w:ind w:left="433" w:right="424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080" w:type="dxa"/>
          </w:tcPr>
          <w:p w:rsidR="003D19BD" w:rsidRDefault="00DB511F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03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</w:tr>
      <w:tr w:rsidR="003D19BD">
        <w:trPr>
          <w:trHeight w:val="2483"/>
        </w:trPr>
        <w:tc>
          <w:tcPr>
            <w:tcW w:w="1188" w:type="dxa"/>
            <w:vMerge/>
            <w:tcBorders>
              <w:top w:val="nil"/>
            </w:tcBorders>
          </w:tcPr>
          <w:p w:rsidR="003D19BD" w:rsidRDefault="003D19B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  <w:p w:rsidR="003D19BD" w:rsidRDefault="003D19BD">
            <w:pPr>
              <w:pStyle w:val="TableParagraph"/>
              <w:rPr>
                <w:sz w:val="26"/>
              </w:rPr>
            </w:pPr>
          </w:p>
          <w:p w:rsidR="003D19BD" w:rsidRDefault="003D19BD">
            <w:pPr>
              <w:pStyle w:val="TableParagraph"/>
              <w:rPr>
                <w:sz w:val="26"/>
              </w:rPr>
            </w:pPr>
          </w:p>
          <w:p w:rsidR="003D19BD" w:rsidRDefault="00DB511F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4503" w:type="dxa"/>
          </w:tcPr>
          <w:p w:rsidR="003D19BD" w:rsidRDefault="00DB511F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 будівель торгівлі, у тому числі торгових павільйонів, на які зареєстроване право власності в Державному реєстрі речових прав на нерухоме майно (крім комерційних кіосків та павільйонів, будівництва та експлуатації автозапра</w:t>
            </w:r>
            <w:r>
              <w:rPr>
                <w:sz w:val="24"/>
              </w:rPr>
              <w:t>вних станцій, будівництва та експлуатації ринкової інфраструктури)</w:t>
            </w:r>
          </w:p>
        </w:tc>
        <w:tc>
          <w:tcPr>
            <w:tcW w:w="567" w:type="dxa"/>
          </w:tcPr>
          <w:p w:rsidR="003D19BD" w:rsidRDefault="00DB511F">
            <w:pPr>
              <w:pStyle w:val="TableParagraph"/>
              <w:spacing w:before="120"/>
              <w:ind w:left="13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160" w:type="dxa"/>
          </w:tcPr>
          <w:p w:rsidR="003D19BD" w:rsidRDefault="00DB511F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19BD">
        <w:trPr>
          <w:trHeight w:val="441"/>
        </w:trPr>
        <w:tc>
          <w:tcPr>
            <w:tcW w:w="1188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3D19BD" w:rsidRDefault="00DB511F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03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3D19BD" w:rsidRDefault="003D19BD">
            <w:pPr>
              <w:pStyle w:val="TableParagraph"/>
              <w:rPr>
                <w:sz w:val="26"/>
              </w:rPr>
            </w:pPr>
          </w:p>
        </w:tc>
      </w:tr>
    </w:tbl>
    <w:p w:rsidR="003D19BD" w:rsidRDefault="00DB511F">
      <w:pPr>
        <w:pStyle w:val="a4"/>
        <w:numPr>
          <w:ilvl w:val="0"/>
          <w:numId w:val="1"/>
        </w:numPr>
        <w:tabs>
          <w:tab w:val="left" w:pos="1384"/>
        </w:tabs>
        <w:ind w:right="848" w:firstLine="720"/>
        <w:jc w:val="both"/>
        <w:rPr>
          <w:sz w:val="28"/>
        </w:rPr>
      </w:pPr>
      <w:r>
        <w:rPr>
          <w:sz w:val="28"/>
        </w:rPr>
        <w:t xml:space="preserve">Внести зміни до рішення Чернігівської міської ради від 31 січня 2019 року №38/VII-5 “Про внесення змін і доповнень до рішення міської ради від 30 січня 2015 року </w:t>
      </w:r>
      <w:r>
        <w:rPr>
          <w:sz w:val="20"/>
        </w:rPr>
        <w:t>“</w:t>
      </w:r>
      <w:r>
        <w:rPr>
          <w:sz w:val="28"/>
        </w:rPr>
        <w:t xml:space="preserve">Про місцеві податки” (47 сесія 6 скликання) зі змінами і доповненнями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(49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сесія, </w:t>
      </w:r>
      <w:r>
        <w:rPr>
          <w:spacing w:val="42"/>
          <w:sz w:val="28"/>
        </w:rPr>
        <w:t xml:space="preserve"> </w:t>
      </w:r>
      <w:r>
        <w:rPr>
          <w:sz w:val="28"/>
        </w:rPr>
        <w:t>53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сесія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6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скликання, 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3/VII-11, 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13/VII-20,</w:t>
      </w:r>
    </w:p>
    <w:p w:rsidR="003D19BD" w:rsidRDefault="00DB511F">
      <w:pPr>
        <w:pStyle w:val="a3"/>
      </w:pPr>
      <w:r>
        <w:t>№ 14/VII-20,  № 16/VII-2,  № 19/VII-16,  № 25/VII-26,  № 26/VII-14,  № 28/VII-</w:t>
      </w:r>
    </w:p>
    <w:p w:rsidR="003D19BD" w:rsidRDefault="00DB511F">
      <w:pPr>
        <w:pStyle w:val="a3"/>
        <w:ind w:right="810"/>
      </w:pPr>
      <w:r>
        <w:t>21, № 29/VII-19, № 35/VII-22, № 36/VII-30)”, виклавши пункт 4 у такій редакції:</w:t>
      </w:r>
    </w:p>
    <w:p w:rsidR="003D19BD" w:rsidRDefault="00DB511F">
      <w:pPr>
        <w:pStyle w:val="a3"/>
        <w:spacing w:before="120"/>
        <w:ind w:right="849" w:firstLine="720"/>
        <w:jc w:val="both"/>
      </w:pPr>
      <w:r>
        <w:t>“4. Це рішення набирає чинності з 01 січня 2019 року, крім встановлених цим рішенням ставок туристичного збору, які набирають чинності з 01 лютого 2019 року.”</w:t>
      </w:r>
    </w:p>
    <w:p w:rsidR="003D19BD" w:rsidRDefault="00DB511F">
      <w:pPr>
        <w:pStyle w:val="a4"/>
        <w:numPr>
          <w:ilvl w:val="0"/>
          <w:numId w:val="1"/>
        </w:numPr>
        <w:tabs>
          <w:tab w:val="left" w:pos="1383"/>
        </w:tabs>
        <w:ind w:right="809" w:firstLine="720"/>
        <w:jc w:val="both"/>
        <w:rPr>
          <w:sz w:val="28"/>
        </w:rPr>
      </w:pPr>
      <w:r>
        <w:rPr>
          <w:sz w:val="28"/>
        </w:rPr>
        <w:t>Прес-службі Черні</w:t>
      </w:r>
      <w:r>
        <w:rPr>
          <w:sz w:val="28"/>
        </w:rPr>
        <w:t>гівської міської ради (Подорван А. Ф.) забезпечити оприлюднення цього рішення згідно з чинним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законодавством.</w:t>
      </w:r>
    </w:p>
    <w:p w:rsidR="003D19BD" w:rsidRDefault="00DB511F">
      <w:pPr>
        <w:pStyle w:val="a4"/>
        <w:numPr>
          <w:ilvl w:val="0"/>
          <w:numId w:val="1"/>
        </w:numPr>
        <w:tabs>
          <w:tab w:val="left" w:pos="1403"/>
        </w:tabs>
        <w:ind w:left="1402" w:hanging="301"/>
        <w:rPr>
          <w:sz w:val="28"/>
        </w:rPr>
      </w:pPr>
      <w:r>
        <w:rPr>
          <w:sz w:val="28"/>
        </w:rPr>
        <w:t>Це</w:t>
      </w:r>
      <w:r>
        <w:rPr>
          <w:spacing w:val="18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8"/>
          <w:sz w:val="28"/>
        </w:rPr>
        <w:t xml:space="preserve"> </w:t>
      </w:r>
      <w:r>
        <w:rPr>
          <w:sz w:val="28"/>
        </w:rPr>
        <w:t>набирає</w:t>
      </w:r>
      <w:r>
        <w:rPr>
          <w:spacing w:val="18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18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18"/>
          <w:sz w:val="28"/>
        </w:rPr>
        <w:t xml:space="preserve"> </w:t>
      </w:r>
      <w:r>
        <w:rPr>
          <w:sz w:val="28"/>
        </w:rPr>
        <w:t>2019</w:t>
      </w:r>
      <w:r>
        <w:rPr>
          <w:spacing w:val="18"/>
          <w:sz w:val="28"/>
        </w:rPr>
        <w:t xml:space="preserve"> </w:t>
      </w:r>
      <w:r>
        <w:rPr>
          <w:sz w:val="28"/>
        </w:rPr>
        <w:t>року.</w:t>
      </w:r>
      <w:r>
        <w:rPr>
          <w:spacing w:val="18"/>
          <w:sz w:val="28"/>
        </w:rPr>
        <w:t xml:space="preserve"> </w:t>
      </w:r>
      <w:r>
        <w:rPr>
          <w:sz w:val="28"/>
        </w:rPr>
        <w:t>Підпункти</w:t>
      </w:r>
      <w:r>
        <w:rPr>
          <w:spacing w:val="18"/>
          <w:sz w:val="28"/>
        </w:rPr>
        <w:t xml:space="preserve"> </w:t>
      </w:r>
      <w:r>
        <w:rPr>
          <w:sz w:val="28"/>
        </w:rPr>
        <w:t>1.1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</w:p>
    <w:p w:rsidR="003D19BD" w:rsidRDefault="00DB511F">
      <w:pPr>
        <w:pStyle w:val="a3"/>
      </w:pPr>
      <w:r>
        <w:t>1.2 пункту 1 цього рішення діють до 30 червня 2019 року.</w:t>
      </w:r>
    </w:p>
    <w:p w:rsidR="003D19BD" w:rsidRDefault="00DB511F">
      <w:pPr>
        <w:pStyle w:val="a4"/>
        <w:numPr>
          <w:ilvl w:val="0"/>
          <w:numId w:val="1"/>
        </w:numPr>
        <w:tabs>
          <w:tab w:val="left" w:pos="1473"/>
        </w:tabs>
        <w:ind w:right="809" w:firstLine="720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заступника міського голови Ломако О. А., постійну комісію міської ради з питань комунальної власності, бюджету та фінансів (Тарасовець О. М.) та Головне управління Державної фіскальної служби у Чернігівській</w:t>
      </w:r>
      <w:r>
        <w:rPr>
          <w:sz w:val="28"/>
        </w:rPr>
        <w:t xml:space="preserve"> області (Барановський О.</w:t>
      </w:r>
      <w:r>
        <w:rPr>
          <w:spacing w:val="-2"/>
          <w:sz w:val="28"/>
        </w:rPr>
        <w:t xml:space="preserve"> </w:t>
      </w:r>
      <w:r>
        <w:rPr>
          <w:sz w:val="28"/>
        </w:rPr>
        <w:t>В.).</w:t>
      </w:r>
    </w:p>
    <w:p w:rsidR="003D19BD" w:rsidRDefault="00DB511F">
      <w:pPr>
        <w:pStyle w:val="a3"/>
        <w:tabs>
          <w:tab w:val="left" w:pos="7365"/>
        </w:tabs>
        <w:spacing w:before="16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В.</w:t>
      </w:r>
      <w:r>
        <w:rPr>
          <w:spacing w:val="-1"/>
        </w:rPr>
        <w:t xml:space="preserve"> </w:t>
      </w:r>
      <w:r>
        <w:t>АТРОШЕНКО</w:t>
      </w:r>
    </w:p>
    <w:sectPr w:rsidR="003D19BD">
      <w:pgSz w:w="11910" w:h="16840"/>
      <w:pgMar w:top="46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51E4"/>
    <w:multiLevelType w:val="multilevel"/>
    <w:tmpl w:val="494654E6"/>
    <w:lvl w:ilvl="0">
      <w:start w:val="1"/>
      <w:numFmt w:val="decimal"/>
      <w:lvlText w:val="%1."/>
      <w:lvlJc w:val="left"/>
      <w:pPr>
        <w:ind w:left="381" w:hanging="34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uk" w:eastAsia="uk" w:bidi="uk"/>
      </w:rPr>
    </w:lvl>
    <w:lvl w:ilvl="1">
      <w:start w:val="1"/>
      <w:numFmt w:val="decimal"/>
      <w:lvlText w:val="%1.%2."/>
      <w:lvlJc w:val="left"/>
      <w:pPr>
        <w:ind w:left="381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" w:eastAsia="uk" w:bidi="uk"/>
      </w:rPr>
    </w:lvl>
    <w:lvl w:ilvl="2">
      <w:numFmt w:val="bullet"/>
      <w:lvlText w:val="•"/>
      <w:lvlJc w:val="left"/>
      <w:pPr>
        <w:ind w:left="2421" w:hanging="522"/>
      </w:pPr>
      <w:rPr>
        <w:rFonts w:hint="default"/>
        <w:lang w:val="uk" w:eastAsia="uk" w:bidi="uk"/>
      </w:rPr>
    </w:lvl>
    <w:lvl w:ilvl="3">
      <w:numFmt w:val="bullet"/>
      <w:lvlText w:val="•"/>
      <w:lvlJc w:val="left"/>
      <w:pPr>
        <w:ind w:left="3441" w:hanging="522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4462" w:hanging="522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5483" w:hanging="522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503" w:hanging="522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524" w:hanging="522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544" w:hanging="522"/>
      </w:pPr>
      <w:rPr>
        <w:rFonts w:hint="default"/>
        <w:lang w:val="uk" w:eastAsia="uk" w:bidi="u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D19BD"/>
    <w:rsid w:val="003D19BD"/>
    <w:rsid w:val="00D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38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5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11F"/>
    <w:rPr>
      <w:rFonts w:ascii="Tahoma" w:eastAsia="Times New Roman" w:hAnsi="Tahoma" w:cs="Tahoma"/>
      <w:sz w:val="16"/>
      <w:szCs w:val="16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011-10/paran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z1011-10/paran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1011-10/paran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1011-10/paran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Світлана А. Горбач</cp:lastModifiedBy>
  <cp:revision>2</cp:revision>
  <dcterms:created xsi:type="dcterms:W3CDTF">2019-03-27T10:34:00Z</dcterms:created>
  <dcterms:modified xsi:type="dcterms:W3CDTF">2019-03-27T10:34:00Z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2019-03-27T00:00:00Z</vt:filetime>
  </property>
</Properties>
</file>