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Додаток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 рішення виконавчого комітету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Чернігівської міської ради 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ab/>
        <w:tab/>
        <w:tab/>
        <w:tab/>
        <w:tab/>
        <w:tab/>
        <w:tab/>
        <w:t xml:space="preserve">        ____________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u w:val="none"/>
        </w:rPr>
        <w:t xml:space="preserve"> 2023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</w:rPr>
        <w:t xml:space="preserve">року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ab/>
        <w:tab/>
        <w:tab/>
        <w:tab/>
        <w:tab/>
        <w:tab/>
        <w:tab/>
        <w:t xml:space="preserve">        № 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>Склад комісії</w:t>
        <w:br/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</w:r>
    </w:p>
    <w:tbl>
      <w:tblPr>
        <w:tblW w:w="10040" w:type="dxa"/>
        <w:jc w:val="left"/>
        <w:tblInd w:w="-354" w:type="dxa"/>
        <w:tblLayout w:type="fixed"/>
        <w:tblCellMar>
          <w:top w:w="55" w:type="dxa"/>
          <w:left w:w="47" w:type="dxa"/>
          <w:bottom w:w="55" w:type="dxa"/>
          <w:right w:w="55" w:type="dxa"/>
        </w:tblCellMar>
      </w:tblPr>
      <w:tblGrid>
        <w:gridCol w:w="457"/>
        <w:gridCol w:w="2883"/>
        <w:gridCol w:w="6700"/>
      </w:tblGrid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Атрощенко Олександр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Мисенко Олексій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 xml:space="preserve"> комунального підприємства  “Муніципальна варта” Чернігівської міської ради, заступник голови комісії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Загребельний Олександр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інспектор-ревізор комунального підприємства “Муніципальна варта” Чернігівської міської ради, секретар комісії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Гаценко Олег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начальника юридичного відділу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Гурбик Роман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відділу екології управління житлово-комунального господарства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Гриць Віталій Юрійович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Дмитренко Василь Лук'янович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Калюжний Сергій Сергійович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Негодніков Дмитро Володимирович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управління державного архітектурно-будівельного контролю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Старіков Роман Михейович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культури та туризму Чернігівської міської ради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>Заступник міського голови</w:t>
        <w:tab/>
        <w:tab/>
        <w:tab/>
        <w:tab/>
        <w:tab/>
        <w:tab/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>Вікторія ПЕКУР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LibreOffice/7.3.7.2$Linux_X86_64 LibreOffice_project/30$Build-2</Application>
  <AppVersion>15.0000</AppVersion>
  <Pages>2</Pages>
  <Words>165</Words>
  <Characters>1271</Characters>
  <CharactersWithSpaces>1478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cp:lastPrinted>2023-03-09T10:11:06Z</cp:lastPrinted>
  <dcterms:modified xsi:type="dcterms:W3CDTF">2023-04-13T10:49:11Z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