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563664" w:rsidRPr="008609A7" w:rsidTr="0006509F">
        <w:trPr>
          <w:trHeight w:val="983"/>
        </w:trPr>
        <w:tc>
          <w:tcPr>
            <w:tcW w:w="6487" w:type="dxa"/>
          </w:tcPr>
          <w:p w:rsidR="00563664" w:rsidRPr="008609A7" w:rsidRDefault="00563664" w:rsidP="0006509F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8609A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8609A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8609A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8609A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8609A7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8609A7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</w:t>
            </w:r>
            <w:r w:rsidRPr="008609A7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53DD6BFB" wp14:editId="70846E5F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563664" w:rsidRPr="008609A7" w:rsidRDefault="00563664" w:rsidP="0006509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8609A7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63664" w:rsidRPr="008609A7" w:rsidRDefault="00563664" w:rsidP="0006509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63664" w:rsidRPr="008609A7" w:rsidRDefault="00563664" w:rsidP="0056366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8609A7">
        <w:rPr>
          <w:b/>
          <w:szCs w:val="28"/>
          <w:lang w:val="uk-UA"/>
        </w:rPr>
        <w:t xml:space="preserve">         </w:t>
      </w:r>
    </w:p>
    <w:p w:rsidR="00563664" w:rsidRPr="008609A7" w:rsidRDefault="00563664" w:rsidP="00563664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 w:rsidRPr="008609A7">
        <w:rPr>
          <w:b/>
          <w:sz w:val="24"/>
          <w:szCs w:val="28"/>
        </w:rPr>
        <w:t>УКРАЇНА</w:t>
      </w:r>
    </w:p>
    <w:p w:rsidR="00563664" w:rsidRPr="008609A7" w:rsidRDefault="00563664" w:rsidP="0056366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8609A7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63664" w:rsidRPr="008609A7" w:rsidRDefault="00563664" w:rsidP="00563664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 w:rsidRPr="008609A7">
        <w:rPr>
          <w:sz w:val="28"/>
          <w:szCs w:val="28"/>
          <w:lang w:val="uk-UA"/>
        </w:rPr>
        <w:t xml:space="preserve">    </w:t>
      </w:r>
      <w:r w:rsidRPr="008609A7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8609A7">
        <w:rPr>
          <w:b/>
          <w:sz w:val="28"/>
          <w:szCs w:val="28"/>
          <w:lang w:val="uk-UA"/>
        </w:rPr>
        <w:t>Н</w:t>
      </w:r>
      <w:proofErr w:type="spellEnd"/>
      <w:r w:rsidRPr="008609A7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1681"/>
        <w:gridCol w:w="76"/>
        <w:gridCol w:w="1980"/>
        <w:gridCol w:w="1294"/>
        <w:gridCol w:w="866"/>
        <w:gridCol w:w="1980"/>
      </w:tblGrid>
      <w:tr w:rsidR="00563664" w:rsidRPr="008609A7" w:rsidTr="00B713F4">
        <w:trPr>
          <w:trHeight w:hRule="exact" w:val="5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664" w:rsidRPr="00B713F4" w:rsidRDefault="00B713F4" w:rsidP="0006509F">
            <w:pPr>
              <w:rPr>
                <w:sz w:val="28"/>
                <w:szCs w:val="28"/>
                <w:lang w:val="uk-UA"/>
              </w:rPr>
            </w:pPr>
            <w:r w:rsidRPr="00B713F4">
              <w:rPr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142" w:type="dxa"/>
            <w:vAlign w:val="bottom"/>
          </w:tcPr>
          <w:p w:rsidR="00563664" w:rsidRPr="008609A7" w:rsidRDefault="00563664" w:rsidP="0006509F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vAlign w:val="bottom"/>
          </w:tcPr>
          <w:p w:rsidR="00563664" w:rsidRPr="008609A7" w:rsidRDefault="00563664" w:rsidP="00B713F4">
            <w:pPr>
              <w:rPr>
                <w:sz w:val="26"/>
                <w:szCs w:val="26"/>
                <w:lang w:val="uk-UA"/>
              </w:rPr>
            </w:pPr>
            <w:r w:rsidRPr="008609A7">
              <w:rPr>
                <w:lang w:val="uk-UA"/>
              </w:rPr>
              <w:t xml:space="preserve"> </w:t>
            </w:r>
            <w:r w:rsidRPr="008609A7">
              <w:rPr>
                <w:sz w:val="26"/>
                <w:szCs w:val="26"/>
                <w:lang w:val="uk-UA"/>
              </w:rPr>
              <w:t xml:space="preserve">20 </w:t>
            </w:r>
            <w:r w:rsidR="00B713F4">
              <w:rPr>
                <w:sz w:val="26"/>
                <w:szCs w:val="26"/>
                <w:lang w:val="uk-UA"/>
              </w:rPr>
              <w:t>17</w:t>
            </w:r>
            <w:r w:rsidRPr="008609A7">
              <w:rPr>
                <w:sz w:val="26"/>
                <w:szCs w:val="26"/>
                <w:lang w:val="uk-UA"/>
              </w:rPr>
              <w:t xml:space="preserve">  року </w:t>
            </w:r>
          </w:p>
        </w:tc>
        <w:tc>
          <w:tcPr>
            <w:tcW w:w="76" w:type="dxa"/>
            <w:vAlign w:val="bottom"/>
          </w:tcPr>
          <w:p w:rsidR="00563664" w:rsidRPr="008609A7" w:rsidRDefault="00563664" w:rsidP="0006509F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63664" w:rsidRPr="008609A7" w:rsidRDefault="00563664" w:rsidP="0006509F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8609A7">
              <w:rPr>
                <w:lang w:val="uk-UA"/>
              </w:rPr>
              <w:t xml:space="preserve">          </w:t>
            </w:r>
            <w:r w:rsidRPr="008609A7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63664" w:rsidRPr="008609A7" w:rsidRDefault="00563664" w:rsidP="0006509F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vAlign w:val="bottom"/>
          </w:tcPr>
          <w:p w:rsidR="00563664" w:rsidRPr="008609A7" w:rsidRDefault="00563664" w:rsidP="0006509F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63664" w:rsidRPr="008609A7" w:rsidRDefault="00563664" w:rsidP="00B713F4">
            <w:pPr>
              <w:tabs>
                <w:tab w:val="left" w:pos="1952"/>
              </w:tabs>
              <w:rPr>
                <w:lang w:val="uk-UA"/>
              </w:rPr>
            </w:pPr>
            <w:r w:rsidRPr="008609A7">
              <w:rPr>
                <w:sz w:val="26"/>
                <w:szCs w:val="26"/>
                <w:lang w:val="uk-UA"/>
              </w:rPr>
              <w:t>№</w:t>
            </w:r>
            <w:r w:rsidRPr="008609A7">
              <w:rPr>
                <w:lang w:val="uk-UA"/>
              </w:rPr>
              <w:t xml:space="preserve"> </w:t>
            </w:r>
            <w:r w:rsidR="00B713F4" w:rsidRPr="00B713F4">
              <w:rPr>
                <w:sz w:val="28"/>
                <w:szCs w:val="28"/>
                <w:lang w:val="uk-UA"/>
              </w:rPr>
              <w:t>337-р</w:t>
            </w:r>
          </w:p>
        </w:tc>
      </w:tr>
    </w:tbl>
    <w:p w:rsidR="00563664" w:rsidRDefault="00563664" w:rsidP="00563664">
      <w:pPr>
        <w:pStyle w:val="a6"/>
        <w:rPr>
          <w:i/>
        </w:rPr>
      </w:pPr>
    </w:p>
    <w:p w:rsidR="00563664" w:rsidRPr="008609A7" w:rsidRDefault="00563664" w:rsidP="00563664">
      <w:pPr>
        <w:pStyle w:val="a6"/>
        <w:rPr>
          <w:i/>
        </w:rPr>
      </w:pP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17A5C">
        <w:rPr>
          <w:sz w:val="28"/>
          <w:szCs w:val="28"/>
          <w:lang w:val="uk-UA"/>
        </w:rPr>
        <w:t xml:space="preserve">ро заборону проведення 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гастрольних заходів, концертів, 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вистав та інших культурних 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заходів на території </w:t>
      </w:r>
      <w:r>
        <w:rPr>
          <w:sz w:val="28"/>
          <w:szCs w:val="28"/>
          <w:lang w:val="uk-UA"/>
        </w:rPr>
        <w:t>міста Чернігова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особам</w:t>
      </w:r>
      <w:r w:rsidRPr="00E17A5C">
        <w:rPr>
          <w:sz w:val="28"/>
          <w:szCs w:val="28"/>
          <w:lang w:val="uk-UA"/>
        </w:rPr>
        <w:t xml:space="preserve">, які публічно підтримують 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агресію Російської Федерації, окупацію 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Автономної Республіки Крим та не 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визнають так звані «ДНР» та «ЛНР» </w:t>
      </w:r>
    </w:p>
    <w:p w:rsidR="00563664" w:rsidRPr="00E17A5C" w:rsidRDefault="00563664" w:rsidP="00563664">
      <w:pPr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>терористичними організаціями</w:t>
      </w:r>
    </w:p>
    <w:p w:rsidR="00563664" w:rsidRDefault="00563664" w:rsidP="00563664">
      <w:pPr>
        <w:jc w:val="both"/>
        <w:rPr>
          <w:sz w:val="28"/>
          <w:szCs w:val="28"/>
          <w:lang w:val="uk-UA"/>
        </w:rPr>
      </w:pPr>
    </w:p>
    <w:p w:rsidR="00563664" w:rsidRPr="00E17A5C" w:rsidRDefault="00563664" w:rsidP="00563664">
      <w:pPr>
        <w:jc w:val="both"/>
        <w:rPr>
          <w:sz w:val="28"/>
          <w:szCs w:val="28"/>
          <w:lang w:val="uk-UA"/>
        </w:rPr>
      </w:pPr>
    </w:p>
    <w:p w:rsidR="00563664" w:rsidRPr="00E17A5C" w:rsidRDefault="00563664" w:rsidP="00563664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EC33F3">
        <w:rPr>
          <w:sz w:val="28"/>
          <w:szCs w:val="28"/>
          <w:lang w:val="uk-UA"/>
        </w:rPr>
        <w:t xml:space="preserve">Керуючись </w:t>
      </w:r>
      <w:r w:rsidRPr="00EC33F3">
        <w:rPr>
          <w:color w:val="000000"/>
          <w:sz w:val="28"/>
          <w:szCs w:val="28"/>
          <w:lang w:val="uk-UA"/>
        </w:rPr>
        <w:t>статтею 42</w:t>
      </w:r>
      <w:r w:rsidRPr="00EC33F3">
        <w:rPr>
          <w:rFonts w:ascii="Verdana" w:hAnsi="Verdana"/>
          <w:color w:val="000000"/>
          <w:sz w:val="28"/>
          <w:szCs w:val="28"/>
          <w:lang w:val="uk-UA"/>
        </w:rPr>
        <w:t xml:space="preserve"> </w:t>
      </w:r>
      <w:r w:rsidRPr="00EC33F3">
        <w:rPr>
          <w:sz w:val="28"/>
          <w:szCs w:val="28"/>
          <w:lang w:val="uk-UA"/>
        </w:rPr>
        <w:t>Закону України «Про місцеве самоврядування в Україні», з метою зменшення</w:t>
      </w:r>
      <w:r w:rsidRPr="00E17A5C">
        <w:rPr>
          <w:sz w:val="28"/>
          <w:szCs w:val="28"/>
          <w:lang w:val="uk-UA"/>
        </w:rPr>
        <w:t xml:space="preserve"> ідеологічного впливу особам</w:t>
      </w:r>
      <w:r w:rsidR="009B441F">
        <w:rPr>
          <w:sz w:val="28"/>
          <w:szCs w:val="28"/>
          <w:lang w:val="uk-UA"/>
        </w:rPr>
        <w:t>и</w:t>
      </w:r>
      <w:r w:rsidRPr="00E17A5C">
        <w:rPr>
          <w:sz w:val="28"/>
          <w:szCs w:val="28"/>
          <w:lang w:val="uk-UA"/>
        </w:rPr>
        <w:t>, які публічно підтримують агресію Російської Федерації, окупацію Автономної Республіки Крим та не визнають так звані «ДНР» та «ЛНР» терористичними організаціями і таким чином схвалюють дії, направлені на зміну меж території суверенної України, її державного кордону</w:t>
      </w:r>
      <w:r>
        <w:rPr>
          <w:sz w:val="28"/>
          <w:szCs w:val="28"/>
          <w:lang w:val="uk-UA"/>
        </w:rPr>
        <w:t>:</w:t>
      </w:r>
      <w:r w:rsidRPr="00E17A5C">
        <w:rPr>
          <w:sz w:val="28"/>
          <w:szCs w:val="28"/>
          <w:lang w:val="uk-UA"/>
        </w:rPr>
        <w:t xml:space="preserve"> </w:t>
      </w:r>
    </w:p>
    <w:p w:rsidR="00563664" w:rsidRPr="00E17A5C" w:rsidRDefault="00563664" w:rsidP="00563664">
      <w:pPr>
        <w:spacing w:after="120"/>
        <w:jc w:val="both"/>
        <w:rPr>
          <w:sz w:val="28"/>
          <w:szCs w:val="28"/>
          <w:lang w:val="uk-UA"/>
        </w:rPr>
      </w:pPr>
      <w:r w:rsidRPr="00EC33F3">
        <w:rPr>
          <w:sz w:val="28"/>
          <w:szCs w:val="28"/>
          <w:lang w:val="uk-UA"/>
        </w:rPr>
        <w:tab/>
        <w:t>1. Заборонити</w:t>
      </w:r>
      <w:r w:rsidRPr="00EC33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C33F3">
        <w:rPr>
          <w:color w:val="000000"/>
          <w:sz w:val="28"/>
          <w:szCs w:val="28"/>
          <w:lang w:val="uk-UA"/>
        </w:rPr>
        <w:t>омунальному підприємству «Міський Палац культури» Чернігівської міської ради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Должикова</w:t>
      </w:r>
      <w:proofErr w:type="spellEnd"/>
      <w:r>
        <w:rPr>
          <w:color w:val="000000"/>
          <w:sz w:val="28"/>
          <w:szCs w:val="28"/>
          <w:lang w:val="uk-UA"/>
        </w:rPr>
        <w:t xml:space="preserve"> І. О.), комунальному підприємству </w:t>
      </w:r>
      <w:r w:rsidRPr="00EC33F3">
        <w:rPr>
          <w:bCs/>
          <w:color w:val="000000"/>
          <w:sz w:val="28"/>
          <w:szCs w:val="28"/>
          <w:lang w:val="uk-UA"/>
        </w:rPr>
        <w:t>«Центральний парк культури та відпочинку»</w:t>
      </w:r>
      <w:r w:rsidRPr="00EC33F3">
        <w:rPr>
          <w:bCs/>
          <w:color w:val="000000"/>
          <w:sz w:val="28"/>
          <w:szCs w:val="28"/>
        </w:rPr>
        <w:t> </w:t>
      </w:r>
      <w:r w:rsidRPr="00EC33F3">
        <w:rPr>
          <w:bCs/>
          <w:color w:val="000000"/>
          <w:sz w:val="28"/>
          <w:szCs w:val="28"/>
          <w:lang w:val="uk-UA"/>
        </w:rPr>
        <w:t>Чернігівської міської ради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</w:t>
      </w:r>
      <w:r w:rsidRPr="0078224A">
        <w:rPr>
          <w:bCs/>
          <w:color w:val="000000"/>
          <w:sz w:val="28"/>
          <w:szCs w:val="28"/>
          <w:lang w:val="uk-UA"/>
        </w:rPr>
        <w:t>(</w:t>
      </w:r>
      <w:proofErr w:type="spellStart"/>
      <w:r w:rsidRPr="0078224A">
        <w:rPr>
          <w:bCs/>
          <w:color w:val="000000"/>
          <w:sz w:val="28"/>
          <w:szCs w:val="28"/>
          <w:lang w:val="uk-UA"/>
        </w:rPr>
        <w:t>Хольченков</w:t>
      </w:r>
      <w:proofErr w:type="spellEnd"/>
      <w:r w:rsidRPr="0078224A">
        <w:rPr>
          <w:bCs/>
          <w:color w:val="000000"/>
          <w:sz w:val="28"/>
          <w:szCs w:val="28"/>
          <w:lang w:val="uk-UA"/>
        </w:rPr>
        <w:t xml:space="preserve"> В.</w:t>
      </w:r>
      <w:r>
        <w:rPr>
          <w:bCs/>
          <w:color w:val="000000"/>
          <w:sz w:val="28"/>
          <w:szCs w:val="28"/>
          <w:lang w:val="uk-UA"/>
        </w:rPr>
        <w:t> </w:t>
      </w:r>
      <w:r w:rsidRPr="0078224A">
        <w:rPr>
          <w:bCs/>
          <w:color w:val="000000"/>
          <w:sz w:val="28"/>
          <w:szCs w:val="28"/>
          <w:lang w:val="uk-UA"/>
        </w:rPr>
        <w:t>Є.)</w:t>
      </w:r>
      <w:r>
        <w:rPr>
          <w:bCs/>
          <w:color w:val="000000"/>
          <w:sz w:val="28"/>
          <w:szCs w:val="28"/>
          <w:lang w:val="uk-UA"/>
        </w:rPr>
        <w:t xml:space="preserve">, </w:t>
      </w:r>
      <w:r w:rsidRPr="00563664">
        <w:rPr>
          <w:color w:val="000000"/>
          <w:sz w:val="28"/>
          <w:szCs w:val="28"/>
          <w:lang w:val="uk-UA"/>
        </w:rPr>
        <w:t xml:space="preserve">комунальним закладам, які </w:t>
      </w:r>
      <w:r w:rsidR="009B441F">
        <w:rPr>
          <w:color w:val="000000"/>
          <w:sz w:val="28"/>
          <w:szCs w:val="28"/>
          <w:lang w:val="uk-UA"/>
        </w:rPr>
        <w:t>підпорядкован</w:t>
      </w:r>
      <w:r w:rsidRPr="00563664">
        <w:rPr>
          <w:color w:val="000000"/>
          <w:sz w:val="28"/>
          <w:szCs w:val="28"/>
          <w:lang w:val="uk-UA"/>
        </w:rPr>
        <w:t xml:space="preserve">і </w:t>
      </w:r>
      <w:r w:rsidRPr="00563664">
        <w:rPr>
          <w:sz w:val="28"/>
          <w:szCs w:val="28"/>
          <w:lang w:val="uk-UA"/>
        </w:rPr>
        <w:t>управлінн</w:t>
      </w:r>
      <w:r w:rsidR="009B441F">
        <w:rPr>
          <w:sz w:val="28"/>
          <w:szCs w:val="28"/>
          <w:lang w:val="uk-UA"/>
        </w:rPr>
        <w:t>ю</w:t>
      </w:r>
      <w:r w:rsidRPr="00563664">
        <w:rPr>
          <w:sz w:val="28"/>
          <w:szCs w:val="28"/>
          <w:lang w:val="uk-UA"/>
        </w:rPr>
        <w:t xml:space="preserve"> культури та туризму Чернігівської міської ради</w:t>
      </w:r>
      <w:r w:rsidR="009B441F">
        <w:rPr>
          <w:sz w:val="28"/>
          <w:szCs w:val="28"/>
          <w:lang w:val="uk-UA"/>
        </w:rPr>
        <w:t xml:space="preserve"> (Шевчук О. І.)</w:t>
      </w:r>
      <w:r w:rsidRPr="00563664">
        <w:rPr>
          <w:sz w:val="28"/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78224A">
        <w:rPr>
          <w:sz w:val="28"/>
          <w:szCs w:val="28"/>
          <w:lang w:val="uk-UA"/>
        </w:rPr>
        <w:t>проведення гастрольних заходів, концертів,</w:t>
      </w:r>
      <w:r w:rsidRPr="00E17A5C">
        <w:rPr>
          <w:sz w:val="28"/>
          <w:szCs w:val="28"/>
          <w:lang w:val="uk-UA"/>
        </w:rPr>
        <w:t xml:space="preserve"> вистав та інших культурних заходів </w:t>
      </w:r>
      <w:r>
        <w:rPr>
          <w:sz w:val="28"/>
          <w:szCs w:val="28"/>
          <w:lang w:val="uk-UA"/>
        </w:rPr>
        <w:t xml:space="preserve">за участю </w:t>
      </w:r>
      <w:r w:rsidRPr="00E17A5C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</w:t>
      </w:r>
      <w:r w:rsidRPr="00E17A5C">
        <w:rPr>
          <w:sz w:val="28"/>
          <w:szCs w:val="28"/>
          <w:lang w:val="uk-UA"/>
        </w:rPr>
        <w:t>б, які публічно підтримують агресію Російської Федерації, окупацію Автономної Республіки Крим та не визнають так звані «ДНР» та «ЛНР</w:t>
      </w:r>
      <w:r>
        <w:rPr>
          <w:sz w:val="28"/>
          <w:szCs w:val="28"/>
          <w:lang w:val="uk-UA"/>
        </w:rPr>
        <w:t xml:space="preserve">» терористичними організаціями, а також </w:t>
      </w:r>
      <w:r w:rsidRPr="00E17A5C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іб</w:t>
      </w:r>
      <w:r w:rsidRPr="00E17A5C">
        <w:rPr>
          <w:sz w:val="28"/>
          <w:szCs w:val="28"/>
          <w:lang w:val="uk-UA"/>
        </w:rPr>
        <w:t xml:space="preserve">, які від початку російської агресії на Україні проводять концерти та беруть участь в інших культурних заходах на території </w:t>
      </w:r>
      <w:r>
        <w:rPr>
          <w:sz w:val="28"/>
          <w:szCs w:val="28"/>
          <w:lang w:val="uk-UA"/>
        </w:rPr>
        <w:t xml:space="preserve">Російської Федерації, </w:t>
      </w:r>
      <w:r w:rsidRPr="00E17A5C">
        <w:rPr>
          <w:sz w:val="28"/>
          <w:szCs w:val="28"/>
          <w:lang w:val="uk-UA"/>
        </w:rPr>
        <w:t>окупованої Автономної Республіки Крим та тимчасово окупованих окремих районах Донецької і Луганської облас</w:t>
      </w:r>
      <w:r>
        <w:rPr>
          <w:sz w:val="28"/>
          <w:szCs w:val="28"/>
          <w:lang w:val="uk-UA"/>
        </w:rPr>
        <w:t>тей України.</w:t>
      </w:r>
    </w:p>
    <w:p w:rsidR="00563664" w:rsidRPr="00E17A5C" w:rsidRDefault="00563664" w:rsidP="00563664">
      <w:pPr>
        <w:spacing w:after="120"/>
        <w:ind w:firstLine="862"/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Рекомендувати організаторам гастрольних заходів, </w:t>
      </w:r>
      <w:r w:rsidRPr="00E17A5C">
        <w:rPr>
          <w:sz w:val="28"/>
          <w:szCs w:val="28"/>
          <w:lang w:val="uk-UA"/>
        </w:rPr>
        <w:t xml:space="preserve">власникам стаціонарних сценічних майданчиків, особам, які використовують стаціонарні сценічні майданчики на підставі цивільно-правових угод, та іншим </w:t>
      </w:r>
      <w:r w:rsidRPr="00E17A5C">
        <w:rPr>
          <w:sz w:val="28"/>
          <w:szCs w:val="28"/>
          <w:lang w:val="uk-UA"/>
        </w:rPr>
        <w:lastRenderedPageBreak/>
        <w:t>підприємствам, установам та організаціям</w:t>
      </w:r>
      <w:r>
        <w:rPr>
          <w:sz w:val="28"/>
          <w:szCs w:val="28"/>
          <w:lang w:val="uk-UA"/>
        </w:rPr>
        <w:t xml:space="preserve"> утриматись від </w:t>
      </w:r>
      <w:r w:rsidRPr="0078224A">
        <w:rPr>
          <w:sz w:val="28"/>
          <w:szCs w:val="28"/>
          <w:lang w:val="uk-UA"/>
        </w:rPr>
        <w:t>проведення гастрольних заходів, концертів,</w:t>
      </w:r>
      <w:r w:rsidRPr="00E17A5C">
        <w:rPr>
          <w:sz w:val="28"/>
          <w:szCs w:val="28"/>
          <w:lang w:val="uk-UA"/>
        </w:rPr>
        <w:t xml:space="preserve"> вистав та інших культурних заходів </w:t>
      </w:r>
      <w:r>
        <w:rPr>
          <w:sz w:val="28"/>
          <w:szCs w:val="28"/>
          <w:lang w:val="uk-UA"/>
        </w:rPr>
        <w:t xml:space="preserve">за участю </w:t>
      </w:r>
      <w:r w:rsidRPr="00E17A5C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</w:t>
      </w:r>
      <w:r w:rsidRPr="00E17A5C">
        <w:rPr>
          <w:sz w:val="28"/>
          <w:szCs w:val="28"/>
          <w:lang w:val="uk-UA"/>
        </w:rPr>
        <w:t xml:space="preserve">б, </w:t>
      </w:r>
      <w:r>
        <w:rPr>
          <w:sz w:val="28"/>
          <w:szCs w:val="28"/>
          <w:lang w:val="uk-UA"/>
        </w:rPr>
        <w:t>визначених у пункті 1 цього розпорядження.</w:t>
      </w:r>
    </w:p>
    <w:p w:rsidR="00563664" w:rsidRDefault="00563664" w:rsidP="00563664">
      <w:pPr>
        <w:tabs>
          <w:tab w:val="left" w:pos="540"/>
          <w:tab w:val="left" w:pos="720"/>
        </w:tabs>
        <w:ind w:firstLine="851"/>
        <w:jc w:val="both"/>
        <w:rPr>
          <w:sz w:val="28"/>
          <w:szCs w:val="28"/>
          <w:lang w:val="uk-UA"/>
        </w:rPr>
      </w:pPr>
      <w:r w:rsidRPr="00E17A5C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Хоніч</w:t>
      </w:r>
      <w:proofErr w:type="spellEnd"/>
      <w:r>
        <w:rPr>
          <w:sz w:val="28"/>
          <w:szCs w:val="28"/>
          <w:lang w:val="uk-UA"/>
        </w:rPr>
        <w:t xml:space="preserve"> О. П.</w:t>
      </w:r>
    </w:p>
    <w:p w:rsidR="00563664" w:rsidRDefault="00563664" w:rsidP="00563664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563664" w:rsidRPr="00E17A5C" w:rsidRDefault="00563664" w:rsidP="00563664">
      <w:pPr>
        <w:ind w:firstLine="540"/>
        <w:jc w:val="both"/>
        <w:rPr>
          <w:sz w:val="28"/>
          <w:szCs w:val="28"/>
          <w:lang w:val="uk-UA"/>
        </w:rPr>
      </w:pPr>
    </w:p>
    <w:p w:rsidR="00563664" w:rsidRPr="00E17A5C" w:rsidRDefault="00563664" w:rsidP="00563664">
      <w:pPr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563664" w:rsidRDefault="00563664" w:rsidP="00563664">
      <w:pPr>
        <w:ind w:right="141"/>
        <w:jc w:val="both"/>
        <w:rPr>
          <w:sz w:val="28"/>
          <w:szCs w:val="28"/>
          <w:lang w:val="uk-UA"/>
        </w:rPr>
      </w:pPr>
    </w:p>
    <w:p w:rsidR="007F76A2" w:rsidRPr="00563664" w:rsidRDefault="007F76A2">
      <w:pPr>
        <w:rPr>
          <w:lang w:val="uk-UA"/>
        </w:rPr>
      </w:pPr>
      <w:bookmarkStart w:id="0" w:name="_GoBack"/>
      <w:bookmarkEnd w:id="0"/>
    </w:p>
    <w:sectPr w:rsidR="007F76A2" w:rsidRPr="00563664" w:rsidSect="00B531AB">
      <w:headerReference w:type="even" r:id="rId8"/>
      <w:headerReference w:type="default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E0" w:rsidRDefault="008A7CE0">
      <w:r>
        <w:separator/>
      </w:r>
    </w:p>
  </w:endnote>
  <w:endnote w:type="continuationSeparator" w:id="0">
    <w:p w:rsidR="008A7CE0" w:rsidRDefault="008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E0" w:rsidRDefault="008A7CE0">
      <w:r>
        <w:separator/>
      </w:r>
    </w:p>
  </w:footnote>
  <w:footnote w:type="continuationSeparator" w:id="0">
    <w:p w:rsidR="008A7CE0" w:rsidRDefault="008A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9B441F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8A7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Pr="007363DE" w:rsidRDefault="008A7CE0" w:rsidP="004B0108">
    <w:pPr>
      <w:pStyle w:val="a3"/>
      <w:framePr w:wrap="around" w:vAnchor="text" w:hAnchor="margin" w:xAlign="center" w:y="1"/>
      <w:rPr>
        <w:rStyle w:val="a5"/>
        <w:lang w:val="uk-UA"/>
      </w:rPr>
    </w:pPr>
  </w:p>
  <w:p w:rsidR="0057307E" w:rsidRDefault="008A7C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64"/>
    <w:rsid w:val="00563664"/>
    <w:rsid w:val="007F76A2"/>
    <w:rsid w:val="008A7CE0"/>
    <w:rsid w:val="009B441F"/>
    <w:rsid w:val="00B713F4"/>
    <w:rsid w:val="00D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36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3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3664"/>
  </w:style>
  <w:style w:type="paragraph" w:styleId="a6">
    <w:name w:val="Body Text"/>
    <w:basedOn w:val="a"/>
    <w:link w:val="a7"/>
    <w:rsid w:val="0056366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56366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56366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636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36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3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3664"/>
  </w:style>
  <w:style w:type="paragraph" w:styleId="a6">
    <w:name w:val="Body Text"/>
    <w:basedOn w:val="a"/>
    <w:link w:val="a7"/>
    <w:rsid w:val="0056366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56366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56366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636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2</cp:revision>
  <cp:lastPrinted>2017-11-20T08:53:00Z</cp:lastPrinted>
  <dcterms:created xsi:type="dcterms:W3CDTF">2017-11-20T07:39:00Z</dcterms:created>
  <dcterms:modified xsi:type="dcterms:W3CDTF">2017-11-21T13:46:00Z</dcterms:modified>
</cp:coreProperties>
</file>